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677006">
      <w:pPr>
        <w:rPr>
          <w:rFonts w:ascii="Montserrat" w:hAnsi="Montserrat" w:cs="Times New Roman"/>
          <w:b/>
          <w:sz w:val="28"/>
          <w:szCs w:val="28"/>
        </w:rPr>
      </w:pPr>
      <w:r w:rsidRPr="00677006"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Montserrat" w:hAnsi="Montserrat" w:cs="Times New Roman"/>
          <w:b/>
          <w:sz w:val="28"/>
          <w:szCs w:val="28"/>
        </w:rPr>
        <w:t>ПРЕСС-РЕЛИЗ</w:t>
      </w:r>
    </w:p>
    <w:p w:rsidR="00677006" w:rsidRDefault="00677006">
      <w:pPr>
        <w:rPr>
          <w:rFonts w:ascii="Montserrat" w:hAnsi="Montserrat" w:cs="Times New Roman"/>
          <w:b/>
          <w:sz w:val="28"/>
          <w:szCs w:val="28"/>
        </w:rPr>
      </w:pPr>
    </w:p>
    <w:p w:rsidR="00677006" w:rsidRPr="00677006" w:rsidRDefault="00677006" w:rsidP="00677006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Жителям Хакасии рассказали о сделках с недвижимостью с участием несовершеннолетних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1 июня 2021 года в рамках Всероссийской акции «День правовой помощи детям» Кадастровая палата по Республике Хакасия провела горячую линию по вопросам оформления сделок с недвижимостью.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Представляем ответы на вопросы, поступившие от граждан в ходе горячей линии.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 какого возраста ребенок может совершать сделки с недвижимостью?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 имени несовершеннолетних детей, не достигших возраста 14 лет, сделки совершают родители или другие законные представители. Несовершеннолетние в возрасте от 14 до 18 лет имеют право самостоятельно совершать сделки: заключают договоры, расписываются в документах и т.д., но только с письменного согласия родителей.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Могут ли несовершеннолетние дети вступать в наследство на недвижимое имущество?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 имени несовершеннолетних граждан, ко</w:t>
      </w:r>
      <w:r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торые еще не достигли 14 лет, на</w:t>
      </w: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следство принимают их родители, усыновители или опекуны.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Лица в возрасте от 14 до 18 лет принимают наследство с письменного согласия своих законных представителей – родителей, усыновителей или попечителя.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На принятие наследства несовершеннолетними гражданами, предварительного разрешения органов опеки и попечительства не требуется.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lastRenderedPageBreak/>
        <w:t>«Для принятия наследства в течение шести месяцев со дня открытия наследства необходимо обратиться к нотариусу с заявлением о принятии наследства по последнему месту жительства наследодателя»,</w:t>
      </w: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отмечает </w:t>
      </w: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ведущий юрисконсульт Кадастровой палаты по Республике Хакасия Ирина </w:t>
      </w:r>
      <w:proofErr w:type="spellStart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Синюкина-Балацкая</w:t>
      </w:r>
      <w:proofErr w:type="spellEnd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выделить долю детям при покупке объекта недвижимости?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 случае приобретения жилья семьей, в которой есть дети, без использования средств материнского капитала, родители самостоятельно решают, кому какую долю выделить. Обычно доли членов семьи равнозначны.</w:t>
      </w:r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покупке жилья с использованием средств материнского капитала (полностью или частично), родители обязаны провести выделение долей детям в жилом объекте и определить их размер.</w:t>
      </w:r>
    </w:p>
    <w:p w:rsid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Кто вправе представлять интересы несовершеннолетнего ребенка при получении государственных услуг </w:t>
      </w:r>
      <w:proofErr w:type="spellStart"/>
      <w:r w:rsidRPr="00677006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Росреестра?</w:t>
      </w:r>
      <w:proofErr w:type="spellEnd"/>
    </w:p>
    <w:p w:rsidR="00677006" w:rsidRPr="00677006" w:rsidRDefault="00677006" w:rsidP="00677006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677006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Законом РФ предусмотрен ограниченный перечень лиц, которые могут выступать в роли законных представителей несовершеннолетнего ребенка: родители, опекуны, попечители, усыновители.</w:t>
      </w:r>
    </w:p>
    <w:p w:rsidR="00677006" w:rsidRDefault="00677006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/>
    <w:p w:rsidR="00EE2304" w:rsidRDefault="00EE2304" w:rsidP="00EE2304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EE2304" w:rsidRDefault="00EE2304" w:rsidP="00EE2304">
      <w:pPr>
        <w:pStyle w:val="a5"/>
        <w:spacing w:before="0" w:beforeAutospacing="0" w:after="0" w:afterAutospacing="0" w:line="360" w:lineRule="auto"/>
      </w:pPr>
      <w:hyperlink r:id="rId5" w:history="1">
        <w:r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8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8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8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E2304" w:rsidRPr="005C78CF" w:rsidRDefault="00EE2304" w:rsidP="00EE2304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EE2304" w:rsidRDefault="00EE2304"/>
    <w:sectPr w:rsidR="00EE230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006"/>
    <w:rsid w:val="003C5458"/>
    <w:rsid w:val="00677006"/>
    <w:rsid w:val="00EE230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677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7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7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7006"/>
    <w:rPr>
      <w:b/>
      <w:bCs/>
    </w:rPr>
  </w:style>
  <w:style w:type="character" w:styleId="a7">
    <w:name w:val="Emphasis"/>
    <w:basedOn w:val="a0"/>
    <w:uiPriority w:val="20"/>
    <w:qFormat/>
    <w:rsid w:val="00677006"/>
    <w:rPr>
      <w:i/>
      <w:iCs/>
    </w:rPr>
  </w:style>
  <w:style w:type="character" w:styleId="a8">
    <w:name w:val="Hyperlink"/>
    <w:basedOn w:val="a0"/>
    <w:uiPriority w:val="99"/>
    <w:unhideWhenUsed/>
    <w:rsid w:val="00EE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94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612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99533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2021-06-08T04:09:00Z</dcterms:created>
  <dcterms:modified xsi:type="dcterms:W3CDTF">2021-06-08T04:10:00Z</dcterms:modified>
</cp:coreProperties>
</file>