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A06FA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200660</wp:posOffset>
            </wp:positionV>
            <wp:extent cx="2819400" cy="1111885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06FA0" w:rsidRDefault="00A06FA0" w:rsidP="00A06FA0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Кадастровая стоимость и оценка</w:t>
      </w:r>
    </w:p>
    <w:p w:rsidR="00A06FA0" w:rsidRPr="00A06FA0" w:rsidRDefault="00A06FA0" w:rsidP="00A06FA0">
      <w:pPr>
        <w:jc w:val="center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A06FA0">
        <w:rPr>
          <w:rFonts w:ascii="Segoe UI" w:hAnsi="Segoe UI" w:cs="Segoe UI"/>
          <w:sz w:val="24"/>
          <w:szCs w:val="24"/>
        </w:rPr>
        <w:t xml:space="preserve">Эксперты рассказали, как проходит утверждение кадастровой стоимости недвижимости в России  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A06FA0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в связи с увеличением количества запросов от граждан по теме кадастровой оценки запускает проект по повышению информирования владельцев недвижимости. Во всех регионах будут подготовлены инструкции и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A06FA0" w:rsidRPr="00A06FA0" w:rsidRDefault="00A06FA0" w:rsidP="00A06FA0">
      <w:pPr>
        <w:spacing w:before="120"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</w:rPr>
      </w:pPr>
      <w:r w:rsidRPr="00A06FA0">
        <w:rPr>
          <w:rFonts w:ascii="Segoe UI" w:hAnsi="Segoe UI" w:cs="Segoe UI"/>
          <w:b/>
          <w:i/>
          <w:sz w:val="24"/>
          <w:szCs w:val="24"/>
        </w:rPr>
        <w:t>Что такое кадастровая стоимость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06FA0">
        <w:rPr>
          <w:rFonts w:ascii="Segoe UI" w:hAnsi="Segoe UI" w:cs="Segoe UI"/>
          <w:sz w:val="24"/>
          <w:szCs w:val="24"/>
        </w:rPr>
        <w:t xml:space="preserve">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A06FA0" w:rsidRPr="00A06FA0" w:rsidRDefault="00A06FA0" w:rsidP="00A06FA0">
      <w:pPr>
        <w:spacing w:before="120"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</w:rPr>
      </w:pPr>
      <w:r w:rsidRPr="00A06FA0">
        <w:rPr>
          <w:rFonts w:ascii="Segoe UI" w:hAnsi="Segoe UI" w:cs="Segoe UI"/>
          <w:b/>
          <w:i/>
          <w:sz w:val="24"/>
          <w:szCs w:val="24"/>
        </w:rPr>
        <w:t>Что такое государственная кадастровая оценка (ГКО)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 xml:space="preserve"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  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A06FA0">
        <w:rPr>
          <w:rFonts w:ascii="Segoe UI" w:hAnsi="Segoe UI" w:cs="Segoe UI"/>
          <w:i/>
          <w:sz w:val="24"/>
          <w:szCs w:val="24"/>
        </w:rPr>
        <w:t xml:space="preserve"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</w:t>
      </w:r>
      <w:r w:rsidRPr="00A06FA0">
        <w:rPr>
          <w:rFonts w:ascii="Segoe UI" w:hAnsi="Segoe UI" w:cs="Segoe UI"/>
          <w:i/>
          <w:sz w:val="24"/>
          <w:szCs w:val="24"/>
        </w:rPr>
        <w:lastRenderedPageBreak/>
        <w:t>государственных нужд»</w:t>
      </w:r>
      <w:r w:rsidRPr="00A06FA0">
        <w:rPr>
          <w:rFonts w:ascii="Segoe UI" w:hAnsi="Segoe UI" w:cs="Segoe UI"/>
          <w:sz w:val="24"/>
          <w:szCs w:val="24"/>
        </w:rPr>
        <w:t xml:space="preserve">, – уточняет </w:t>
      </w:r>
      <w:r w:rsidRPr="00A06FA0">
        <w:rPr>
          <w:rFonts w:ascii="Segoe UI" w:hAnsi="Segoe UI" w:cs="Segoe UI"/>
          <w:b/>
          <w:sz w:val="24"/>
          <w:szCs w:val="24"/>
        </w:rPr>
        <w:t xml:space="preserve">начальник отдела определения кадастровой стоимости Федеральной кадастровой палаты Татьяна фон </w:t>
      </w:r>
      <w:proofErr w:type="spellStart"/>
      <w:r w:rsidRPr="00A06FA0">
        <w:rPr>
          <w:rFonts w:ascii="Segoe UI" w:hAnsi="Segoe UI" w:cs="Segoe UI"/>
          <w:b/>
          <w:sz w:val="24"/>
          <w:szCs w:val="24"/>
        </w:rPr>
        <w:t>Адеркас</w:t>
      </w:r>
      <w:proofErr w:type="spellEnd"/>
      <w:r w:rsidRPr="00A06FA0">
        <w:rPr>
          <w:rFonts w:ascii="Segoe UI" w:hAnsi="Segoe UI" w:cs="Segoe UI"/>
          <w:b/>
          <w:sz w:val="24"/>
          <w:szCs w:val="24"/>
        </w:rPr>
        <w:t xml:space="preserve">. 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 xml:space="preserve"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Pr="00A06FA0">
        <w:rPr>
          <w:rFonts w:ascii="Segoe UI" w:hAnsi="Segoe UI" w:cs="Segoe UI"/>
          <w:sz w:val="24"/>
          <w:szCs w:val="24"/>
        </w:rPr>
        <w:t>сельхозназначения</w:t>
      </w:r>
      <w:proofErr w:type="spellEnd"/>
      <w:r w:rsidRPr="00A06FA0">
        <w:rPr>
          <w:rFonts w:ascii="Segoe UI" w:hAnsi="Segoe UI" w:cs="Segoe UI"/>
          <w:sz w:val="24"/>
          <w:szCs w:val="24"/>
        </w:rPr>
        <w:t>, многоквартирных домов или особо охраняемых территорий. Перечень объектов, подлежащих проведению ГКО на основании запроса администрации субъекта, формирует орган регистрации прав.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A06FA0" w:rsidRPr="00A06FA0" w:rsidRDefault="00A06FA0" w:rsidP="00A06FA0">
      <w:pPr>
        <w:spacing w:before="120"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</w:rPr>
      </w:pPr>
      <w:r w:rsidRPr="00A06FA0">
        <w:rPr>
          <w:rFonts w:ascii="Segoe UI" w:hAnsi="Segoe UI" w:cs="Segoe UI"/>
          <w:b/>
          <w:i/>
          <w:sz w:val="24"/>
          <w:szCs w:val="24"/>
        </w:rPr>
        <w:t>Кто в России определяет кадастровую стоимость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A06FA0">
        <w:rPr>
          <w:rFonts w:ascii="Segoe UI" w:hAnsi="Segoe UI" w:cs="Segoe UI"/>
          <w:b/>
          <w:sz w:val="24"/>
          <w:szCs w:val="24"/>
        </w:rPr>
        <w:t>независимыми оценщиками</w:t>
      </w:r>
      <w:r w:rsidRPr="00A06FA0">
        <w:rPr>
          <w:rFonts w:ascii="Segoe UI" w:hAnsi="Segoe UI" w:cs="Segoe UI"/>
          <w:sz w:val="24"/>
          <w:szCs w:val="24"/>
        </w:rPr>
        <w:t xml:space="preserve">, к закону о государственной кадастровой оценке, согласно которому </w:t>
      </w:r>
      <w:r w:rsidRPr="00A06FA0">
        <w:rPr>
          <w:rFonts w:ascii="Segoe UI" w:hAnsi="Segoe UI" w:cs="Segoe UI"/>
          <w:b/>
          <w:sz w:val="24"/>
          <w:szCs w:val="24"/>
        </w:rPr>
        <w:t>кадастровая стоимость рассчитывается специально созданными государственными бюджетными учреждениями при субъекте РФ</w:t>
      </w:r>
      <w:r w:rsidRPr="00A06FA0">
        <w:rPr>
          <w:rFonts w:ascii="Segoe UI" w:hAnsi="Segoe UI" w:cs="Segoe UI"/>
          <w:sz w:val="24"/>
          <w:szCs w:val="24"/>
        </w:rPr>
        <w:t>. На сегодня в ряде регионов уже созданы ГБУ, которые работают по</w:t>
      </w:r>
      <w:r>
        <w:rPr>
          <w:rFonts w:ascii="Segoe UI" w:hAnsi="Segoe UI" w:cs="Segoe UI"/>
          <w:sz w:val="24"/>
          <w:szCs w:val="24"/>
        </w:rPr>
        <w:t xml:space="preserve"> новым правилам. </w:t>
      </w:r>
      <w:r w:rsidRPr="00A06FA0">
        <w:rPr>
          <w:rFonts w:ascii="Segoe UI" w:hAnsi="Segoe UI" w:cs="Segoe UI"/>
          <w:sz w:val="24"/>
          <w:szCs w:val="24"/>
        </w:rPr>
        <w:t xml:space="preserve"> </w:t>
      </w:r>
    </w:p>
    <w:p w:rsidR="00A06FA0" w:rsidRPr="00A06FA0" w:rsidRDefault="00A06FA0" w:rsidP="00A06FA0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 xml:space="preserve">Примечательно, что работники бюджетных учреждений, непосредственно определяющие кадастровую стоимость, не </w:t>
      </w:r>
      <w:proofErr w:type="gramStart"/>
      <w:r w:rsidRPr="00A06FA0">
        <w:rPr>
          <w:rFonts w:ascii="Segoe UI" w:hAnsi="Segoe UI" w:cs="Segoe UI"/>
          <w:sz w:val="24"/>
          <w:szCs w:val="24"/>
        </w:rPr>
        <w:t>в праве</w:t>
      </w:r>
      <w:proofErr w:type="gramEnd"/>
      <w:r w:rsidRPr="00A06FA0">
        <w:rPr>
          <w:rFonts w:ascii="Segoe UI" w:hAnsi="Segoe UI" w:cs="Segoe UI"/>
          <w:sz w:val="24"/>
          <w:szCs w:val="24"/>
        </w:rPr>
        <w:t xml:space="preserve"> заниматься расчетом рыночной стоимости недвижимости для оспаривания ее кадастровой стоимости.</w:t>
      </w:r>
    </w:p>
    <w:p w:rsidR="00A06FA0" w:rsidRPr="00A06FA0" w:rsidRDefault="00A06FA0" w:rsidP="00A06FA0">
      <w:pPr>
        <w:spacing w:before="120"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</w:rPr>
      </w:pPr>
      <w:r w:rsidRPr="00A06FA0">
        <w:rPr>
          <w:rFonts w:ascii="Segoe UI" w:hAnsi="Segoe UI" w:cs="Segoe UI"/>
          <w:b/>
          <w:i/>
          <w:sz w:val="24"/>
          <w:szCs w:val="24"/>
        </w:rPr>
        <w:t>Как происходит процесс определения кадастровой стоимости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 xml:space="preserve">Итак, местная администрация приняла решение о проведении государственной кадастровой оценки. Местный орган регистрации прав формирует перечень конкретных объектов недвижимости и по запросу предоставляет в администрацию. Та, в свою очередь, в течение 3 рабочих дней должна направить его в специально </w:t>
      </w:r>
      <w:proofErr w:type="gramStart"/>
      <w:r w:rsidRPr="00A06FA0">
        <w:rPr>
          <w:rFonts w:ascii="Segoe UI" w:hAnsi="Segoe UI" w:cs="Segoe UI"/>
          <w:sz w:val="24"/>
          <w:szCs w:val="24"/>
        </w:rPr>
        <w:t>созданные</w:t>
      </w:r>
      <w:proofErr w:type="gramEnd"/>
      <w:r w:rsidRPr="00A06FA0">
        <w:rPr>
          <w:rFonts w:ascii="Segoe UI" w:hAnsi="Segoe UI" w:cs="Segoe UI"/>
          <w:sz w:val="24"/>
          <w:szCs w:val="24"/>
        </w:rPr>
        <w:t xml:space="preserve"> ГБУ. Этот перечень содержит сведения Единого государственного реестра недвижимости (ЕГРН), обязательно - актуальные на 1 января года определения кадастровой стоимости. 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>В течение месяца с момента принятия решения администрация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06FA0">
        <w:rPr>
          <w:rFonts w:ascii="Segoe UI" w:hAnsi="Segoe UI" w:cs="Segoe UI"/>
          <w:sz w:val="24"/>
          <w:szCs w:val="24"/>
        </w:rPr>
        <w:t xml:space="preserve">должна проинформировать о нем правообладателей соответствующих объектов недвижимости. 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lastRenderedPageBreak/>
        <w:t>Важным этапом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06FA0">
        <w:rPr>
          <w:rFonts w:ascii="Segoe UI" w:hAnsi="Segoe UI" w:cs="Segoe UI"/>
          <w:sz w:val="24"/>
          <w:szCs w:val="24"/>
        </w:rPr>
        <w:t xml:space="preserve">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Росреестр (о чем администрация также обязана проинформировать граждан).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подать заявление посредством портала </w:t>
      </w:r>
      <w:proofErr w:type="spellStart"/>
      <w:r w:rsidRPr="00A06FA0"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A06FA0">
        <w:rPr>
          <w:rFonts w:ascii="Segoe UI" w:hAnsi="Segoe UI" w:cs="Segoe UI"/>
          <w:sz w:val="24"/>
          <w:szCs w:val="24"/>
        </w:rPr>
        <w:t>или через МФЦ.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1" w:name="dst100195"/>
      <w:bookmarkEnd w:id="1"/>
      <w:r w:rsidRPr="00A06FA0">
        <w:rPr>
          <w:rFonts w:ascii="Segoe UI" w:hAnsi="Segoe UI" w:cs="Segoe UI"/>
          <w:i/>
          <w:sz w:val="24"/>
          <w:szCs w:val="24"/>
        </w:rPr>
        <w:t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A06FA0">
        <w:rPr>
          <w:rFonts w:ascii="Segoe UI" w:hAnsi="Segoe UI" w:cs="Segoe UI"/>
          <w:sz w:val="24"/>
          <w:szCs w:val="24"/>
        </w:rPr>
        <w:t xml:space="preserve">, </w:t>
      </w:r>
      <w:r w:rsidRPr="00A06FA0">
        <w:rPr>
          <w:rFonts w:ascii="Segoe UI" w:hAnsi="Segoe UI" w:cs="Segoe UI"/>
          <w:sz w:val="24"/>
          <w:szCs w:val="24"/>
        </w:rPr>
        <w:noBreakHyphen/>
        <w:t xml:space="preserve"> говорит </w:t>
      </w:r>
      <w:r w:rsidRPr="00A06FA0">
        <w:rPr>
          <w:rFonts w:ascii="Segoe UI" w:hAnsi="Segoe UI" w:cs="Segoe UI"/>
          <w:b/>
          <w:sz w:val="24"/>
          <w:szCs w:val="24"/>
        </w:rPr>
        <w:t>эксперт Федеральной кадастровой палаты</w:t>
      </w:r>
      <w:r w:rsidRPr="00A06FA0">
        <w:rPr>
          <w:rFonts w:ascii="Segoe UI" w:hAnsi="Segoe UI" w:cs="Segoe UI"/>
          <w:sz w:val="24"/>
          <w:szCs w:val="24"/>
        </w:rPr>
        <w:t>.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sz w:val="24"/>
          <w:szCs w:val="24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A06FA0" w:rsidRPr="00A06FA0" w:rsidRDefault="00A06FA0" w:rsidP="00A06FA0">
      <w:pPr>
        <w:spacing w:before="120"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06FA0">
        <w:rPr>
          <w:rFonts w:ascii="Segoe UI" w:hAnsi="Segoe UI" w:cs="Segoe UI"/>
          <w:i/>
          <w:sz w:val="24"/>
          <w:szCs w:val="24"/>
        </w:rPr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A06FA0">
        <w:rPr>
          <w:rFonts w:ascii="Segoe UI" w:hAnsi="Segoe UI" w:cs="Segoe UI"/>
          <w:sz w:val="24"/>
          <w:szCs w:val="24"/>
        </w:rPr>
        <w:t>», - резюмирует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06FA0">
        <w:rPr>
          <w:rFonts w:ascii="Segoe UI" w:hAnsi="Segoe UI" w:cs="Segoe UI"/>
          <w:b/>
          <w:sz w:val="24"/>
          <w:szCs w:val="24"/>
        </w:rPr>
        <w:t xml:space="preserve">Татьяна фон </w:t>
      </w:r>
      <w:proofErr w:type="spellStart"/>
      <w:r w:rsidRPr="00A06FA0">
        <w:rPr>
          <w:rFonts w:ascii="Segoe UI" w:hAnsi="Segoe UI" w:cs="Segoe UI"/>
          <w:b/>
          <w:sz w:val="24"/>
          <w:szCs w:val="24"/>
        </w:rPr>
        <w:t>Адеркас</w:t>
      </w:r>
      <w:proofErr w:type="spellEnd"/>
      <w:r w:rsidRPr="00A06FA0">
        <w:rPr>
          <w:rFonts w:ascii="Segoe UI" w:hAnsi="Segoe UI" w:cs="Segoe UI"/>
          <w:b/>
          <w:sz w:val="24"/>
          <w:szCs w:val="24"/>
        </w:rPr>
        <w:t>.</w:t>
      </w:r>
      <w:bookmarkEnd w:id="0"/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5B3BCD" w:rsidRPr="007405CF" w:rsidRDefault="00595406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595406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595406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B4B34"/>
    <w:rsid w:val="00422E58"/>
    <w:rsid w:val="00595406"/>
    <w:rsid w:val="005B3BCD"/>
    <w:rsid w:val="00607E6D"/>
    <w:rsid w:val="00625E27"/>
    <w:rsid w:val="00652602"/>
    <w:rsid w:val="00702AF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A06FA0"/>
    <w:rsid w:val="00B10C30"/>
    <w:rsid w:val="00B73CC0"/>
    <w:rsid w:val="00B770F7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2</cp:revision>
  <dcterms:created xsi:type="dcterms:W3CDTF">2019-07-23T07:54:00Z</dcterms:created>
  <dcterms:modified xsi:type="dcterms:W3CDTF">2019-07-23T07:54:00Z</dcterms:modified>
</cp:coreProperties>
</file>