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DF" w:rsidRPr="002B4DDF" w:rsidRDefault="002B4DDF" w:rsidP="002B4DDF">
      <w:pPr>
        <w:pStyle w:val="a3"/>
        <w:shd w:val="clear" w:color="auto" w:fill="FFFFFF"/>
        <w:spacing w:before="0" w:beforeAutospacing="0" w:after="0" w:afterAutospacing="0"/>
        <w:jc w:val="center"/>
        <w:rPr>
          <w:rStyle w:val="a4"/>
          <w:b w:val="0"/>
          <w:color w:val="000000"/>
          <w:sz w:val="32"/>
          <w:szCs w:val="32"/>
        </w:rPr>
      </w:pPr>
      <w:r w:rsidRPr="002B4DDF">
        <w:rPr>
          <w:b/>
          <w:color w:val="000000"/>
          <w:sz w:val="32"/>
          <w:szCs w:val="32"/>
        </w:rPr>
        <w:t>М</w:t>
      </w:r>
      <w:r w:rsidRPr="002B4DDF">
        <w:rPr>
          <w:b/>
          <w:color w:val="000000"/>
          <w:sz w:val="32"/>
          <w:szCs w:val="32"/>
        </w:rPr>
        <w:t>етодические рекомендации</w:t>
      </w:r>
      <w:r w:rsidRPr="002B4DDF">
        <w:rPr>
          <w:b/>
          <w:color w:val="000000"/>
          <w:sz w:val="32"/>
          <w:szCs w:val="32"/>
        </w:rPr>
        <w:t xml:space="preserve"> по концессионны</w:t>
      </w:r>
      <w:r>
        <w:rPr>
          <w:b/>
          <w:color w:val="000000"/>
          <w:sz w:val="32"/>
          <w:szCs w:val="32"/>
        </w:rPr>
        <w:t>м соглашениям для</w:t>
      </w:r>
      <w:bookmarkStart w:id="0" w:name="_GoBack"/>
      <w:bookmarkEnd w:id="0"/>
      <w:r w:rsidRPr="002B4DDF">
        <w:rPr>
          <w:b/>
          <w:color w:val="000000"/>
          <w:sz w:val="32"/>
          <w:szCs w:val="32"/>
        </w:rPr>
        <w:t xml:space="preserve"> ОМСУ</w:t>
      </w:r>
    </w:p>
    <w:p w:rsidR="00A4059B" w:rsidRPr="002B4DDF" w:rsidRDefault="00A4059B" w:rsidP="00A4059B">
      <w:pPr>
        <w:pStyle w:val="a3"/>
        <w:shd w:val="clear" w:color="auto" w:fill="FFFFFF"/>
        <w:spacing w:before="0" w:beforeAutospacing="0" w:after="0" w:afterAutospacing="0"/>
        <w:jc w:val="both"/>
        <w:rPr>
          <w:color w:val="000000"/>
          <w:sz w:val="28"/>
          <w:szCs w:val="28"/>
        </w:rPr>
      </w:pPr>
      <w:r w:rsidRPr="002B4DDF">
        <w:rPr>
          <w:rStyle w:val="a4"/>
          <w:color w:val="000000"/>
          <w:sz w:val="28"/>
          <w:szCs w:val="28"/>
        </w:rPr>
        <w:t>1. Общие положения.</w:t>
      </w:r>
    </w:p>
    <w:p w:rsidR="00A4059B" w:rsidRPr="002B4DDF" w:rsidRDefault="00A4059B" w:rsidP="00A4059B">
      <w:pPr>
        <w:pStyle w:val="listparagraph"/>
        <w:shd w:val="clear" w:color="auto" w:fill="FFFFFF"/>
        <w:spacing w:before="0" w:beforeAutospacing="0" w:after="370" w:afterAutospacing="0"/>
        <w:jc w:val="both"/>
        <w:rPr>
          <w:color w:val="000000"/>
          <w:sz w:val="28"/>
          <w:szCs w:val="28"/>
        </w:rPr>
      </w:pPr>
      <w:r w:rsidRPr="002B4DDF">
        <w:rPr>
          <w:color w:val="000000"/>
          <w:sz w:val="28"/>
          <w:szCs w:val="28"/>
        </w:rPr>
        <w:t>Настоящие методические рекомендации предназначены для применения органами местного самоуправления при реализации положений Федерального закона от 21 июля 2005 г. № 115–ФЗ «О концессионных соглашениях» (далее – Закон).</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Основной целью заключения концессионного соглашения является привлечение инвестиций в экономику Сахалинской области в рамках развития государственно-частного партнерства, обеспечение эффективного использования имущества, находящегося в муниципальной собственности, на условиях концессионных соглашений и повышение качества товаров, работ, услуг, предоставляемых потребителям.</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Целью разработки настоящих методических рекомендаций является определение системы мер, которые должны быть реализованы на муниципальном уровне, для обеспечения выполнения требований Закона;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Отношения сторон концессионного соглашения регулируются Законом и иными нормативными правовыми актами, принимаемыми во исполнение Закона. Органы местного самоуправления вправе принимать решение о заключении конкретных концессионных соглашений в отношении объектов, находящихся в муниципальной собственности.</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xml:space="preserve">Права и обязанности концессионера и </w:t>
      </w:r>
      <w:proofErr w:type="spellStart"/>
      <w:r w:rsidRPr="002B4DDF">
        <w:rPr>
          <w:color w:val="000000"/>
          <w:sz w:val="28"/>
          <w:szCs w:val="28"/>
        </w:rPr>
        <w:t>концедента</w:t>
      </w:r>
      <w:proofErr w:type="spellEnd"/>
      <w:r w:rsidRPr="002B4DDF">
        <w:rPr>
          <w:color w:val="000000"/>
          <w:sz w:val="28"/>
          <w:szCs w:val="28"/>
        </w:rPr>
        <w:t xml:space="preserve"> определены статьей 8 Закона.</w:t>
      </w:r>
    </w:p>
    <w:p w:rsidR="00A4059B" w:rsidRPr="002B4DDF" w:rsidRDefault="00A4059B" w:rsidP="00A4059B">
      <w:pPr>
        <w:pStyle w:val="a3"/>
        <w:shd w:val="clear" w:color="auto" w:fill="FFFFFF"/>
        <w:spacing w:before="0" w:beforeAutospacing="0" w:after="0" w:afterAutospacing="0"/>
        <w:jc w:val="both"/>
        <w:rPr>
          <w:color w:val="000000"/>
          <w:sz w:val="28"/>
          <w:szCs w:val="28"/>
        </w:rPr>
      </w:pPr>
      <w:r w:rsidRPr="002B4DDF">
        <w:rPr>
          <w:rStyle w:val="a4"/>
          <w:color w:val="000000"/>
          <w:sz w:val="28"/>
          <w:szCs w:val="28"/>
        </w:rPr>
        <w:t>2. Термины и определения.</w:t>
      </w:r>
    </w:p>
    <w:p w:rsidR="00A4059B" w:rsidRPr="002B4DDF" w:rsidRDefault="00A4059B" w:rsidP="00A4059B">
      <w:pPr>
        <w:pStyle w:val="listparagraph"/>
        <w:shd w:val="clear" w:color="auto" w:fill="FFFFFF"/>
        <w:spacing w:before="0" w:beforeAutospacing="0" w:after="370" w:afterAutospacing="0"/>
        <w:jc w:val="both"/>
        <w:rPr>
          <w:color w:val="000000"/>
          <w:sz w:val="28"/>
          <w:szCs w:val="28"/>
        </w:rPr>
      </w:pPr>
      <w:proofErr w:type="gramStart"/>
      <w:r w:rsidRPr="002B4DDF">
        <w:rPr>
          <w:color w:val="000000"/>
          <w:sz w:val="28"/>
          <w:szCs w:val="28"/>
        </w:rPr>
        <w:t>Концессионное соглашение (концессия) – это соглашение, по которому одна из сторон – концессионер – обязуется за свой счет создать и (или) реконструировать определенное недвижимое имущество (далее – объект концессионного соглашения) и осуществлять с использованием (эксплуатацией) этого недвижимого имущества деятельность, определенную концессионным соглашением, в течение времени, установленного данным соглашением.</w:t>
      </w:r>
      <w:proofErr w:type="gramEnd"/>
      <w:r w:rsidRPr="002B4DDF">
        <w:rPr>
          <w:color w:val="000000"/>
          <w:sz w:val="28"/>
          <w:szCs w:val="28"/>
        </w:rPr>
        <w:t xml:space="preserve"> Другая сторона концессионного соглашения – </w:t>
      </w:r>
      <w:proofErr w:type="spellStart"/>
      <w:r w:rsidRPr="002B4DDF">
        <w:rPr>
          <w:color w:val="000000"/>
          <w:sz w:val="28"/>
          <w:szCs w:val="28"/>
        </w:rPr>
        <w:t>концедент</w:t>
      </w:r>
      <w:proofErr w:type="spellEnd"/>
      <w:r w:rsidRPr="002B4DDF">
        <w:rPr>
          <w:color w:val="000000"/>
          <w:sz w:val="28"/>
          <w:szCs w:val="28"/>
        </w:rPr>
        <w:t xml:space="preserve"> – является и будет являться собственником создаваемого и (или) реконструируемого имущества и предоставляет права владения и пользования имуществом или объектом концессионного соглашения концессионеру на срок, установленный соглашением. По соглашению одна сторона обязуется этим соглашением передать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w:t>
      </w:r>
      <w:proofErr w:type="gramStart"/>
      <w:r w:rsidRPr="002B4DDF">
        <w:rPr>
          <w:color w:val="000000"/>
          <w:sz w:val="28"/>
          <w:szCs w:val="28"/>
        </w:rPr>
        <w:t>собственности</w:t>
      </w:r>
      <w:proofErr w:type="gramEnd"/>
      <w:r w:rsidRPr="002B4DDF">
        <w:rPr>
          <w:color w:val="000000"/>
          <w:sz w:val="28"/>
          <w:szCs w:val="28"/>
        </w:rPr>
        <w:t xml:space="preserve"> на </w:t>
      </w:r>
      <w:r w:rsidRPr="002B4DDF">
        <w:rPr>
          <w:color w:val="000000"/>
          <w:sz w:val="28"/>
          <w:szCs w:val="28"/>
        </w:rPr>
        <w:lastRenderedPageBreak/>
        <w:t>которое принадлежит или будет принадлежать другой стороне (</w:t>
      </w:r>
      <w:proofErr w:type="spellStart"/>
      <w:r w:rsidRPr="002B4DDF">
        <w:rPr>
          <w:color w:val="000000"/>
          <w:sz w:val="28"/>
          <w:szCs w:val="28"/>
        </w:rPr>
        <w:t>концеденту</w:t>
      </w:r>
      <w:proofErr w:type="spellEnd"/>
      <w:r w:rsidRPr="002B4DDF">
        <w:rPr>
          <w:color w:val="000000"/>
          <w:sz w:val="28"/>
          <w:szCs w:val="28"/>
        </w:rPr>
        <w:t xml:space="preserve">), а </w:t>
      </w:r>
      <w:proofErr w:type="spellStart"/>
      <w:r w:rsidRPr="002B4DDF">
        <w:rPr>
          <w:color w:val="000000"/>
          <w:sz w:val="28"/>
          <w:szCs w:val="28"/>
        </w:rPr>
        <w:t>концедент</w:t>
      </w:r>
      <w:proofErr w:type="spellEnd"/>
      <w:r w:rsidRPr="002B4DDF">
        <w:rPr>
          <w:color w:val="000000"/>
          <w:sz w:val="28"/>
          <w:szCs w:val="28"/>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A4059B" w:rsidRPr="002B4DDF" w:rsidRDefault="00A4059B" w:rsidP="00A4059B">
      <w:pPr>
        <w:pStyle w:val="listparagraph"/>
        <w:shd w:val="clear" w:color="auto" w:fill="FFFFFF"/>
        <w:spacing w:before="0" w:beforeAutospacing="0" w:after="370" w:afterAutospacing="0"/>
        <w:jc w:val="both"/>
        <w:rPr>
          <w:color w:val="000000"/>
          <w:sz w:val="28"/>
          <w:szCs w:val="28"/>
        </w:rPr>
      </w:pPr>
      <w:proofErr w:type="spellStart"/>
      <w:r w:rsidRPr="002B4DDF">
        <w:rPr>
          <w:color w:val="000000"/>
          <w:sz w:val="28"/>
          <w:szCs w:val="28"/>
        </w:rPr>
        <w:t>Концедент</w:t>
      </w:r>
      <w:proofErr w:type="spellEnd"/>
      <w:r w:rsidRPr="002B4DDF">
        <w:rPr>
          <w:color w:val="000000"/>
          <w:sz w:val="28"/>
          <w:szCs w:val="28"/>
        </w:rPr>
        <w:t>, применительно к настоящим методическим рекомендациям, – это муниципальное образование, от имени которого выступает орган местного самоуправления.</w:t>
      </w:r>
    </w:p>
    <w:p w:rsidR="00A4059B" w:rsidRPr="002B4DDF" w:rsidRDefault="00A4059B" w:rsidP="00A4059B">
      <w:pPr>
        <w:pStyle w:val="listparagraph"/>
        <w:shd w:val="clear" w:color="auto" w:fill="FFFFFF"/>
        <w:spacing w:before="0" w:beforeAutospacing="0" w:after="370" w:afterAutospacing="0"/>
        <w:jc w:val="both"/>
        <w:rPr>
          <w:color w:val="000000"/>
          <w:sz w:val="28"/>
          <w:szCs w:val="28"/>
        </w:rPr>
      </w:pPr>
      <w:r w:rsidRPr="002B4DDF">
        <w:rPr>
          <w:color w:val="000000"/>
          <w:sz w:val="28"/>
          <w:szCs w:val="28"/>
        </w:rPr>
        <w:t>Концессионер – это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два и более юридических лица.</w:t>
      </w:r>
    </w:p>
    <w:p w:rsidR="00A4059B" w:rsidRPr="002B4DDF" w:rsidRDefault="00A4059B" w:rsidP="00A4059B">
      <w:pPr>
        <w:pStyle w:val="a3"/>
        <w:shd w:val="clear" w:color="auto" w:fill="FFFFFF"/>
        <w:spacing w:before="0" w:beforeAutospacing="0" w:after="0" w:afterAutospacing="0"/>
        <w:jc w:val="both"/>
        <w:rPr>
          <w:color w:val="000000"/>
          <w:sz w:val="28"/>
          <w:szCs w:val="28"/>
        </w:rPr>
      </w:pPr>
      <w:r w:rsidRPr="002B4DDF">
        <w:rPr>
          <w:rStyle w:val="a4"/>
          <w:color w:val="000000"/>
          <w:sz w:val="28"/>
          <w:szCs w:val="28"/>
        </w:rPr>
        <w:t>3. Перечень объектов концессионного соглашения.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В статье 4 Закона определены объекты концессионного соглашения. Как правило, в муниципальной собственности находятся следующие объекты, которые могут быть переданы на условиях концессионного соглашения: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автомобильные дороги и инженерные сооружения транспортной инфраструктуры, в том числе мосты, путепроводы, тоннели, стоянки автотранспортных средств, пункты пропуска автотранспортных средств, пункты взимания платы с владельцев автотранспортных средств;</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объекты железнодорожного транспорта;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гидротехнические сооружения;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объекты по производству, передаче и распределению электрической и тепловой энергии;</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системы коммунальной инфраструктуры и иные объекты коммунального хозяйства, в том числе объекты водо-, тепл</w:t>
      </w:r>
      <w:proofErr w:type="gramStart"/>
      <w:r w:rsidRPr="002B4DDF">
        <w:rPr>
          <w:color w:val="000000"/>
          <w:sz w:val="28"/>
          <w:szCs w:val="28"/>
        </w:rPr>
        <w:t>о-</w:t>
      </w:r>
      <w:proofErr w:type="gramEnd"/>
      <w:r w:rsidRPr="002B4DDF">
        <w:rPr>
          <w:color w:val="000000"/>
          <w:sz w:val="28"/>
          <w:szCs w:val="28"/>
        </w:rPr>
        <w:t>, газо- и энергоснабжения, водоотведения, очистки сточных вод, переработки и утилизации (захоронения) бытовых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социально-бытового назначения;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транспорт общего пользования;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объекты здравоохранения, в том числе объекты, предназначенные для санаторно-курортного лечения;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lastRenderedPageBreak/>
        <w:t>–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иные объекты, находящиеся в муниципальной собственности, передача которых в концессию соответствует целям заключения концессионного соглашения, определенным разделом 1 настоящих методических рекомендаций.</w:t>
      </w:r>
    </w:p>
    <w:p w:rsidR="00A4059B" w:rsidRPr="002B4DDF" w:rsidRDefault="00A4059B" w:rsidP="00A4059B">
      <w:pPr>
        <w:pStyle w:val="a3"/>
        <w:shd w:val="clear" w:color="auto" w:fill="FFFFFF"/>
        <w:spacing w:before="0" w:beforeAutospacing="0" w:after="0" w:afterAutospacing="0"/>
        <w:jc w:val="both"/>
        <w:rPr>
          <w:color w:val="000000"/>
          <w:sz w:val="28"/>
          <w:szCs w:val="28"/>
        </w:rPr>
      </w:pPr>
      <w:r w:rsidRPr="002B4DDF">
        <w:rPr>
          <w:rStyle w:val="a4"/>
          <w:color w:val="000000"/>
          <w:sz w:val="28"/>
          <w:szCs w:val="28"/>
        </w:rPr>
        <w:t>4. Порядок принятия решения о заключении концессионного соглашения.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Решение о передаче в концессию объектов, находящихся в муниципальной собственности, принимает соответствующий орган местного самоуправления.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На основании принятого решения орган местного самоуправления издает нормативный правовой акт о заключении концессионного соглашения (образец Постановления о заключении концессионного соглашения приведен в Приложении № 1).</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Решение о заключении концессионного соглашения должно содержать:</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1) условия концессионного соглашения (далее – условия конкурса);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2) критерии конкурса и параметры критериев конкурса;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3) вид конкурса (открытый конкурс или закрытый конкурс);</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4) перечень лиц, которым направляются приглашения принять участие в конкурсе (в случае проведения закрытого конкурса);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xml:space="preserve">6) орган, уполномоченный </w:t>
      </w:r>
      <w:proofErr w:type="spellStart"/>
      <w:r w:rsidRPr="002B4DDF">
        <w:rPr>
          <w:color w:val="000000"/>
          <w:sz w:val="28"/>
          <w:szCs w:val="28"/>
        </w:rPr>
        <w:t>концедентом</w:t>
      </w:r>
      <w:proofErr w:type="spellEnd"/>
      <w:r w:rsidRPr="002B4DDF">
        <w:rPr>
          <w:color w:val="000000"/>
          <w:sz w:val="28"/>
          <w:szCs w:val="28"/>
        </w:rPr>
        <w:t xml:space="preserve"> 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 на </w:t>
      </w:r>
      <w:r w:rsidRPr="002B4DDF">
        <w:rPr>
          <w:color w:val="000000"/>
          <w:sz w:val="28"/>
          <w:szCs w:val="28"/>
        </w:rPr>
        <w:lastRenderedPageBreak/>
        <w:t>создание конкурсной комиссии по проведению конкурса, утверждение персонального состава конкурсной комиссии.</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xml:space="preserve">Концессионное соглашение заключается путем проведения конкурса </w:t>
      </w:r>
      <w:proofErr w:type="gramStart"/>
      <w:r w:rsidRPr="002B4DDF">
        <w:rPr>
          <w:color w:val="000000"/>
          <w:sz w:val="28"/>
          <w:szCs w:val="28"/>
        </w:rPr>
        <w:t>на право его</w:t>
      </w:r>
      <w:proofErr w:type="gramEnd"/>
      <w:r w:rsidRPr="002B4DDF">
        <w:rPr>
          <w:color w:val="000000"/>
          <w:sz w:val="28"/>
          <w:szCs w:val="28"/>
        </w:rPr>
        <w:t xml:space="preserve"> заключения, либо, в отдельных, предусмотренных Законом случаях, без проведения конкурса.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xml:space="preserve">Если принимается решение о заключении концессионного соглашения без проведения конкурса, то оно должно </w:t>
      </w:r>
      <w:proofErr w:type="gramStart"/>
      <w:r w:rsidRPr="002B4DDF">
        <w:rPr>
          <w:color w:val="000000"/>
          <w:sz w:val="28"/>
          <w:szCs w:val="28"/>
        </w:rPr>
        <w:t>устанавливать условия</w:t>
      </w:r>
      <w:proofErr w:type="gramEnd"/>
      <w:r w:rsidRPr="002B4DDF">
        <w:rPr>
          <w:color w:val="000000"/>
          <w:sz w:val="28"/>
          <w:szCs w:val="28"/>
        </w:rPr>
        <w:t xml:space="preserve"> концессионного соглашения, порядок его заключения и требования к концессионеру.</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Концессионное соглашение заключается без проведения конкурса в случаях:</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когда по истечении срока представления заявок на участие в конкурсе представлена только одна заявка, в силу чего конкурс объявлен несостоявшимся, но при этом заявитель и представленная им заявка соответствуют требованиям, установленным конкурсной документацией;</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когда конкурсной комиссией признано соответствующей требованиям конкурсной документации только одно конкурсное предложение, в силу чего конкурс объявлен несостоявшимся.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Так же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Законом может быть объектом концессионного соглашения;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В этом случае концессионное соглашение должно удовлетворять следующим требованиям:</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xml:space="preserve">– срок действия концессионного соглашения не превышает срок действия договора аренды, в соответствии с которым у арендатора возникли права </w:t>
      </w:r>
      <w:r w:rsidRPr="002B4DDF">
        <w:rPr>
          <w:color w:val="000000"/>
          <w:sz w:val="28"/>
          <w:szCs w:val="28"/>
        </w:rPr>
        <w:lastRenderedPageBreak/>
        <w:t>владения и пользования имуществом, являющимся объектом концессионного соглашения;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заключаемое концессионное соглашение содержит все существенные условия концессионного соглашения, установленные статьей 10 Закона, и обязанности концессионера, установленные статьей 8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A4059B" w:rsidRPr="002B4DDF" w:rsidRDefault="00A4059B" w:rsidP="00A4059B">
      <w:pPr>
        <w:pStyle w:val="a3"/>
        <w:shd w:val="clear" w:color="auto" w:fill="FFFFFF"/>
        <w:spacing w:before="0" w:beforeAutospacing="0" w:after="0" w:afterAutospacing="0"/>
        <w:jc w:val="both"/>
        <w:rPr>
          <w:color w:val="000000"/>
          <w:sz w:val="28"/>
          <w:szCs w:val="28"/>
        </w:rPr>
      </w:pPr>
      <w:r w:rsidRPr="002B4DDF">
        <w:rPr>
          <w:rStyle w:val="a4"/>
          <w:color w:val="000000"/>
          <w:sz w:val="28"/>
          <w:szCs w:val="28"/>
        </w:rPr>
        <w:t>5. Конкурсная комиссия.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В соответствии со статьей 25 Закона для проведения конкурса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xml:space="preserve">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sidRPr="002B4DDF">
        <w:rPr>
          <w:color w:val="000000"/>
          <w:sz w:val="28"/>
          <w:szCs w:val="28"/>
        </w:rPr>
        <w:t>концедент</w:t>
      </w:r>
      <w:proofErr w:type="spellEnd"/>
      <w:r w:rsidRPr="002B4DDF">
        <w:rPr>
          <w:color w:val="000000"/>
          <w:sz w:val="28"/>
          <w:szCs w:val="28"/>
        </w:rPr>
        <w:t xml:space="preserve"> заменяет их иными лицами.</w:t>
      </w:r>
    </w:p>
    <w:p w:rsidR="00A4059B" w:rsidRPr="002B4DDF" w:rsidRDefault="00A4059B" w:rsidP="00A4059B">
      <w:pPr>
        <w:pStyle w:val="a3"/>
        <w:shd w:val="clear" w:color="auto" w:fill="FFFFFF"/>
        <w:spacing w:before="0" w:beforeAutospacing="0" w:after="0" w:afterAutospacing="0"/>
        <w:jc w:val="both"/>
        <w:rPr>
          <w:color w:val="000000"/>
          <w:sz w:val="28"/>
          <w:szCs w:val="28"/>
        </w:rPr>
      </w:pPr>
      <w:r w:rsidRPr="002B4DDF">
        <w:rPr>
          <w:rStyle w:val="a4"/>
          <w:color w:val="000000"/>
          <w:sz w:val="28"/>
          <w:szCs w:val="28"/>
        </w:rPr>
        <w:t>6. Содержание конкурсной документации.</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lastRenderedPageBreak/>
        <w:t>Конкурсная документация должна содержать сведения, установленные в статье 23 Закона: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условия конкурса;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состав и описание, в том числе технико-экономические показатели, объекта концессионного соглашения (образец оформления технических требований к объекту концессионного соглашения приведен в Приложении № 2);</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дополнительные требования к участникам конкурса, среди которых прямо названы требования к квалификации участников конкурса, их профессиональным и деловым качествам;</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1) соответствие заявителей требованиям, установленным конкурсной документацией и предъявляемым к участникам конкурса;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2) соответствие заявок на участие в конкурсе и конкурсных предложений требованиям, установленным конкурсной документацией;</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3) информацию, содержащуюся в конкурсном предложении;</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порядок представления заявок на участие в конкурсе и требования, предъявляемые к ним;</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место и срок представления заявок на участие в конкурсе (даты и время начала и истечения этого срока);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порядок, место и срок предоставления конкурсной документации;</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порядок предоставления разъяснений положений конкурсной документации;</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указание на способы обеспечения концессионером исполнения обязательств по концессионному соглашению;</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lastRenderedPageBreak/>
        <w:t>–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размер концессионной платы, форму или формы, порядок и сроки ее внесения, за исключением случаев, предусмотренных частью 1.1 статьи 7 Закона (при условии, что размер концессионной платы не является критерием конкурса);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порядок, место и срок представления конкурсных предложений (даты и время начала и истечения этого срока);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порядок и срок изменения и (или) отзыва заявок на участие в конкурсе и конкурсных предложений;</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порядок, место, дату и время вскрытия конвертов с заявками на участие в конкурсе;</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частью 1 статьи 30 Закона, и время вскрытия конвертов с конкурсными предложениями;</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порядок рассмотрения и оценки конкурсных предложений;</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порядок определения победителя конкурса;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срок подписания протокола о результатах проведения конкурса;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срок подписания концессионного соглашения;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Законом способами обеспечения исполнения концессионером обязательств по концессионному соглашению, а также требования к таким документам;</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lastRenderedPageBreak/>
        <w:t xml:space="preserve">– срок передачи </w:t>
      </w:r>
      <w:proofErr w:type="spellStart"/>
      <w:r w:rsidRPr="002B4DDF">
        <w:rPr>
          <w:color w:val="000000"/>
          <w:sz w:val="28"/>
          <w:szCs w:val="28"/>
        </w:rPr>
        <w:t>концедентом</w:t>
      </w:r>
      <w:proofErr w:type="spellEnd"/>
      <w:r w:rsidRPr="002B4DDF">
        <w:rPr>
          <w:color w:val="000000"/>
          <w:sz w:val="28"/>
          <w:szCs w:val="28"/>
        </w:rPr>
        <w:t xml:space="preserve"> концессионеру объекта концессионного соглашения и (или) иного передаваемого </w:t>
      </w:r>
      <w:proofErr w:type="spellStart"/>
      <w:r w:rsidRPr="002B4DDF">
        <w:rPr>
          <w:color w:val="000000"/>
          <w:sz w:val="28"/>
          <w:szCs w:val="28"/>
        </w:rPr>
        <w:t>концедентом</w:t>
      </w:r>
      <w:proofErr w:type="spellEnd"/>
      <w:r w:rsidRPr="002B4DDF">
        <w:rPr>
          <w:color w:val="000000"/>
          <w:sz w:val="28"/>
          <w:szCs w:val="28"/>
        </w:rPr>
        <w:t xml:space="preserve"> концессионеру по концессионному соглашению имущества.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xml:space="preserve">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w:t>
      </w:r>
      <w:proofErr w:type="spellStart"/>
      <w:r w:rsidRPr="002B4DDF">
        <w:rPr>
          <w:color w:val="000000"/>
          <w:sz w:val="28"/>
          <w:szCs w:val="28"/>
        </w:rPr>
        <w:t>концедента</w:t>
      </w:r>
      <w:proofErr w:type="spellEnd"/>
      <w:r w:rsidRPr="002B4DDF">
        <w:rPr>
          <w:color w:val="000000"/>
          <w:sz w:val="28"/>
          <w:szCs w:val="28"/>
        </w:rPr>
        <w:t xml:space="preserve"> установлены долгосрочные параметры регулирования деятельности концессионера, конкурсная документация должна содержать такие параметры.</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В соответствии со статьей 24 Закона в качестве критериев конкурса могут устанавливаться: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1) сроки создания и (или) реконструкции объекта концессионного соглашения;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3) технико-экономические показатели объекта концессионного соглашения;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6) размер концессионной платы (в случае, если она предусматривается);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xml:space="preserve">Если одним из критериев конкурса является обязательство концессионера по подготовке проектной документации объекта концессионного соглашения, то </w:t>
      </w:r>
      <w:r w:rsidRPr="002B4DDF">
        <w:rPr>
          <w:color w:val="000000"/>
          <w:sz w:val="28"/>
          <w:szCs w:val="28"/>
        </w:rPr>
        <w:lastRenderedPageBreak/>
        <w:t>должны быть установлены требования к представлению участником конкурса такого конкурсного предложения, которое содержит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Для участия в конкурсе заявитель подает в конкурсную комиссию заявку (образец формы заявки приведен в Приложении № 3) и конкурсное предложение (образец формы конкурсного предложения приведен в Приложении № 4).</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После рассмотрения конкурсной комиссией предоставленных документов, участникам конкурса отправляется уведомление о допуске к участию в конкурсе (образец формы уведомления о допуске приведен в Приложении № 5) или уведомление об отказе в допуске к участию в конкурсе (образец формы уведомления об отказе в допуске приведен в Приложении № 6).</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По результатам рассмотрения заявок, конкурсная комиссия принимает решение о победителе конкурса и отправляет уведомления участникам конкурса о результатах проведения конкурса (образец формы уведомления о результатах проведения конкурса приведен в Приложении № 7).</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С победителем конкурса заключается концессионное соглашение.</w:t>
      </w:r>
    </w:p>
    <w:p w:rsidR="00A4059B" w:rsidRPr="002B4DDF" w:rsidRDefault="00A4059B" w:rsidP="00A4059B">
      <w:pPr>
        <w:pStyle w:val="a3"/>
        <w:shd w:val="clear" w:color="auto" w:fill="FFFFFF"/>
        <w:spacing w:before="0" w:beforeAutospacing="0" w:after="0" w:afterAutospacing="0"/>
        <w:jc w:val="both"/>
        <w:rPr>
          <w:color w:val="000000"/>
          <w:sz w:val="28"/>
          <w:szCs w:val="28"/>
        </w:rPr>
      </w:pPr>
      <w:r w:rsidRPr="002B4DDF">
        <w:rPr>
          <w:rStyle w:val="a4"/>
          <w:color w:val="000000"/>
          <w:sz w:val="28"/>
          <w:szCs w:val="28"/>
        </w:rPr>
        <w:t>7. Содержание концессионного соглашения.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Формы типовых концессионных соглашений, утверждены нормативными правовыми актами Правительства Российской Федерации, перечень которых приведен в Приложении № 8.</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Согласно статье 10 Закона концессионное соглашение должно включать в себя следующие существенные условия: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обязательства концессионера по осуществлению деятельности, предусмотренной концессионным соглашением;</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срок действия концессионного соглашения;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описание, в том числе технико-экономические показатели, объекта концессионного соглашения;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lastRenderedPageBreak/>
        <w:t>– срок передачи концессионеру объекта концессионного соглашения;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цели и срок использования (эксплуатации) объекта концессионного соглашения;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xml:space="preserve">–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sidRPr="002B4DDF">
        <w:rPr>
          <w:color w:val="000000"/>
          <w:sz w:val="28"/>
          <w:szCs w:val="28"/>
        </w:rPr>
        <w:t>концеденту</w:t>
      </w:r>
      <w:proofErr w:type="spellEnd"/>
      <w:r w:rsidRPr="002B4DDF">
        <w:rPr>
          <w:color w:val="000000"/>
          <w:sz w:val="28"/>
          <w:szCs w:val="28"/>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размер концессионной платы, форму или формы, порядок и сроки ее внесения, за исключением случаев, предусмотренных частью 1.1 статьи 7 настоящего Закона;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порядок возмещения расходов сторон в случае досрочного расторжения концессионного соглашения;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иные предусмотренные федеральными законами существенные условия.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Одновременно с концессионным соглашением заключается договор аренды земельного участка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A4059B" w:rsidRPr="002B4DDF" w:rsidRDefault="00A4059B" w:rsidP="00A4059B">
      <w:pPr>
        <w:pStyle w:val="a3"/>
        <w:shd w:val="clear" w:color="auto" w:fill="FFFFFF"/>
        <w:spacing w:before="0" w:beforeAutospacing="0" w:after="0" w:afterAutospacing="0"/>
        <w:jc w:val="both"/>
        <w:rPr>
          <w:color w:val="000000"/>
          <w:sz w:val="28"/>
          <w:szCs w:val="28"/>
        </w:rPr>
      </w:pPr>
      <w:r w:rsidRPr="002B4DDF">
        <w:rPr>
          <w:rStyle w:val="a4"/>
          <w:color w:val="000000"/>
          <w:sz w:val="28"/>
          <w:szCs w:val="28"/>
        </w:rPr>
        <w:t>8. Расходы по исполнению концессионного соглашения.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Расходы на исполнение обязательств концессионера по концессионному соглашению, как правило, несет сам концессионер.</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lastRenderedPageBreak/>
        <w:t xml:space="preserve">Однако Закон о концессионных соглашениях дает </w:t>
      </w:r>
      <w:proofErr w:type="spellStart"/>
      <w:r w:rsidRPr="002B4DDF">
        <w:rPr>
          <w:color w:val="000000"/>
          <w:sz w:val="28"/>
          <w:szCs w:val="28"/>
        </w:rPr>
        <w:t>концеденту</w:t>
      </w:r>
      <w:proofErr w:type="spellEnd"/>
      <w:r w:rsidRPr="002B4DDF">
        <w:rPr>
          <w:color w:val="000000"/>
          <w:sz w:val="28"/>
          <w:szCs w:val="28"/>
        </w:rPr>
        <w:t xml:space="preserve"> право:</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предоставлять концессионеру государственные или муниципальные гарантии (статьи 116, 117 Бюджетного кодекса РФ).</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xml:space="preserve">Согласно статье 7 Закона концессионным соглашением предусматривается плата, вносимая концессионером </w:t>
      </w:r>
      <w:proofErr w:type="spellStart"/>
      <w:r w:rsidRPr="002B4DDF">
        <w:rPr>
          <w:color w:val="000000"/>
          <w:sz w:val="28"/>
          <w:szCs w:val="28"/>
        </w:rPr>
        <w:t>концеденту</w:t>
      </w:r>
      <w:proofErr w:type="spellEnd"/>
      <w:r w:rsidRPr="002B4DDF">
        <w:rPr>
          <w:color w:val="000000"/>
          <w:sz w:val="28"/>
          <w:szCs w:val="28"/>
        </w:rPr>
        <w:t xml:space="preserve">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Концессионную плату можно осуществлять в форме:</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определенных в твердой сумме платежей, вносимых периодически или единовременно в бюджет муниципальных образований;</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установленной доли продукции или доходов, полученных концессионером в результате осуществления деятельности по концессионному соглашению;</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xml:space="preserve">– передачи </w:t>
      </w:r>
      <w:proofErr w:type="spellStart"/>
      <w:r w:rsidRPr="002B4DDF">
        <w:rPr>
          <w:color w:val="000000"/>
          <w:sz w:val="28"/>
          <w:szCs w:val="28"/>
        </w:rPr>
        <w:t>концеденту</w:t>
      </w:r>
      <w:proofErr w:type="spellEnd"/>
      <w:r w:rsidRPr="002B4DDF">
        <w:rPr>
          <w:color w:val="000000"/>
          <w:sz w:val="28"/>
          <w:szCs w:val="28"/>
        </w:rPr>
        <w:t xml:space="preserve"> в собственность имущества, находящегося в собственности концессионера;</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смешанного (комбинированного) способа внесения концессионной платы;</w:t>
      </w:r>
    </w:p>
    <w:p w:rsidR="00A4059B" w:rsidRPr="002B4DDF" w:rsidRDefault="00A4059B" w:rsidP="00A4059B">
      <w:pPr>
        <w:pStyle w:val="a3"/>
        <w:shd w:val="clear" w:color="auto" w:fill="FFFFFF"/>
        <w:spacing w:before="0" w:beforeAutospacing="0" w:after="370" w:afterAutospacing="0"/>
        <w:jc w:val="both"/>
        <w:rPr>
          <w:color w:val="000000"/>
          <w:sz w:val="28"/>
          <w:szCs w:val="28"/>
        </w:rPr>
      </w:pPr>
      <w:r w:rsidRPr="002B4DDF">
        <w:rPr>
          <w:color w:val="000000"/>
          <w:sz w:val="28"/>
          <w:szCs w:val="28"/>
        </w:rPr>
        <w:t>– иными, не противоречащими действующему законодательству, способами.</w:t>
      </w:r>
    </w:p>
    <w:p w:rsidR="00FD433D" w:rsidRPr="002B4DDF" w:rsidRDefault="002B4DDF">
      <w:pPr>
        <w:rPr>
          <w:rFonts w:ascii="Times New Roman" w:hAnsi="Times New Roman" w:cs="Times New Roman"/>
          <w:sz w:val="28"/>
          <w:szCs w:val="28"/>
        </w:rPr>
      </w:pPr>
    </w:p>
    <w:sectPr w:rsidR="00FD433D" w:rsidRPr="002B4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7D"/>
    <w:rsid w:val="001A667D"/>
    <w:rsid w:val="002B4DDF"/>
    <w:rsid w:val="00A4059B"/>
    <w:rsid w:val="00BA61FB"/>
    <w:rsid w:val="00CD6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059B"/>
    <w:rPr>
      <w:b/>
      <w:bCs/>
    </w:rPr>
  </w:style>
  <w:style w:type="paragraph" w:customStyle="1" w:styleId="listparagraph">
    <w:name w:val="listparagraph"/>
    <w:basedOn w:val="a"/>
    <w:rsid w:val="00A405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059B"/>
    <w:rPr>
      <w:b/>
      <w:bCs/>
    </w:rPr>
  </w:style>
  <w:style w:type="paragraph" w:customStyle="1" w:styleId="listparagraph">
    <w:name w:val="listparagraph"/>
    <w:basedOn w:val="a"/>
    <w:rsid w:val="00A405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5426">
      <w:bodyDiv w:val="1"/>
      <w:marLeft w:val="0"/>
      <w:marRight w:val="0"/>
      <w:marTop w:val="0"/>
      <w:marBottom w:val="0"/>
      <w:divBdr>
        <w:top w:val="none" w:sz="0" w:space="0" w:color="auto"/>
        <w:left w:val="none" w:sz="0" w:space="0" w:color="auto"/>
        <w:bottom w:val="none" w:sz="0" w:space="0" w:color="auto"/>
        <w:right w:val="none" w:sz="0" w:space="0" w:color="auto"/>
      </w:divBdr>
    </w:div>
    <w:div w:id="708726014">
      <w:bodyDiv w:val="1"/>
      <w:marLeft w:val="0"/>
      <w:marRight w:val="0"/>
      <w:marTop w:val="0"/>
      <w:marBottom w:val="0"/>
      <w:divBdr>
        <w:top w:val="none" w:sz="0" w:space="0" w:color="auto"/>
        <w:left w:val="none" w:sz="0" w:space="0" w:color="auto"/>
        <w:bottom w:val="none" w:sz="0" w:space="0" w:color="auto"/>
        <w:right w:val="none" w:sz="0" w:space="0" w:color="auto"/>
      </w:divBdr>
    </w:div>
    <w:div w:id="9105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3080</Words>
  <Characters>17558</Characters>
  <Application>Microsoft Office Word</Application>
  <DocSecurity>0</DocSecurity>
  <Lines>146</Lines>
  <Paragraphs>41</Paragraphs>
  <ScaleCrop>false</ScaleCrop>
  <Company/>
  <LinksUpToDate>false</LinksUpToDate>
  <CharactersWithSpaces>20597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2016-11-25T05:40:00Z</dcterms:created>
  <dcterms:modified xsi:type="dcterms:W3CDTF">2017-05-02T05:37:00Z</dcterms:modified>
</cp:coreProperties>
</file>