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5" w:rsidRDefault="00265035" w:rsidP="002650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  <w:t>Изменения федерального законодательства, вступившие в силу</w:t>
      </w:r>
    </w:p>
    <w:p w:rsidR="00265035" w:rsidRPr="00265035" w:rsidRDefault="00265035" w:rsidP="002650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b/>
          <w:color w:val="2A53A5"/>
          <w:sz w:val="28"/>
          <w:szCs w:val="28"/>
          <w:lang w:eastAsia="ru-RU"/>
        </w:rPr>
        <w:t xml:space="preserve"> 1 января 2017 года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С 1 января 2017 года вступили в силу отдельные положения Федерального закона от 03.07.2016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 334-ФЗ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«О внесении изменений в Земельный кодекс Российской Федерации и отдельные законодательные акты Российской Федерации» (далее – Федеральный закон № 334-ФЗ), Федерального закона от 30.12.2015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 431-ФЗ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№ 431-ФЗ), Федерального закона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</w:t>
      </w: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03.07.2016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 373-ФЗ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(далее – Федеральный закон № 373-ФЗ) и Федерального закона от 03.07.2016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№361-ФЗ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«О внесении изменений в отдельные законодательные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акты Российской Федерации и признании </w:t>
      </w: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утратившими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Федерации» (далее – Федеральный закон № 361-ФЗ). Новые законы имеют свои особенности.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Так, согласно Федеральному закону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№431-ФЗ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положениями 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3 п. 3 ст. 23 Земельного кодекса РФ (далее – ЗК РФ) расширились места для установления публичных сервитутов. К ним добавились геодезические пункты государственных геодезических сетей, гравиметрические пункты, нивелирные пункты, а также подъезды к ним.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В соответствии с Федеральным законом </w:t>
      </w:r>
      <w:r w:rsidRPr="00265035">
        <w:rPr>
          <w:rFonts w:ascii="Times New Roman" w:eastAsia="Times New Roman" w:hAnsi="Times New Roman" w:cs="Times New Roman"/>
          <w:b/>
          <w:color w:val="464950"/>
          <w:sz w:val="28"/>
          <w:szCs w:val="28"/>
          <w:lang w:eastAsia="ru-RU"/>
        </w:rPr>
        <w:t>№373-ФЗ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увеличился перечень случаев, в которых договор аренды земельного участка, находящегося в государственной или муниципальной собственности, будет заключаться без проведения торгов. В частности, в случаях предоставления: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- участка, который изъят у физического или юридического лица (при этом участок должен был быть предоставлен на праве безвозмездного пользования или аренды) для муниципальных нужд в целях комплексного развития территории, лицу, заключившему договор о комплексном развитии территории при определённых 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13.2 п. 2 ст. 39.6 ЗК РФ условиях;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- участка для строительства объектов коммунальной, транспортной, социальной инфраструктур лицу, которое заключило договор о комплексном развитии территории в соответствии с Градостроительным кодексом РФ (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13.3 п. 2 ст. 39.6 ЗК РФ).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lastRenderedPageBreak/>
        <w:t>В данных случаях договор аренды будет заключаться на срок действия договора о комплексном развитии территории (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8.3 п. 8 ст. 39.8 ЗК РФ).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Аренда такого участка или земельных участков, образованных из него, может быть прекращена по требованию арендодателя в случае расторжения договора о комплексном развитии территории в связи с тем, что лицо, заключившее указанный договор с ОМСУ, не исполнило предусмотренные договором обязанности (п. 2.2 ст. 46 ЗК РФ).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Также дополнен перечень оснований для принятия органами исполнительной власти или МСУ, указанными в статье 56.2 ЗК РФ, решений об изъятии земельных участков для государственных или муниципальных нужд. К таким основаниям относится соответствующее ходатайство организации, с которой заключён договор о комплексном развитии территории по инициативе органа местного самоуправления по результатам аукциона на право заключения такого договора в соответствии с Градостроительным кодексом РФ (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4 п. 1 ст. 56.4 ЗК РФ).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Кроме того, указанная выше организация сможет получить такой участок в собственность при соблюдении всех условий, в том числе при предоставлении за изымаемый участок и (или) расположенные на нём объекты недвижимого имущества полного возмещения, предусмотренного соглашением об изъятии недвижимости или вступившим в законную силу решением суда (</w:t>
      </w:r>
      <w:proofErr w:type="spell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п.п</w:t>
      </w:r>
      <w:proofErr w:type="spell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. 5 п. 4 ст. 56.11 ЗК РФ).</w:t>
      </w:r>
      <w:proofErr w:type="gramEnd"/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Более того, введена новая статья в ЗК РФ, отражающая особенности изъятия земельных участков и (или) расположенных на них объектов недвижимого имущества в целях комплексного развития территории по инициативе органа местного самоуправления (ст. 56.12 ЗК РФ). Например, теперь ОМСУ, принявший решение об изъятии земельных участков и (или) расположенных на них объектов недвижимого имущества, обязан будет: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- обеспечить опубликование в порядке, установленном для официального опубликования (обнародования) муниципальных правовых актов уставом муниципального образования, сообщения о принятом </w:t>
      </w: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решении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об изъятии земельных участков и (или) расположенных на них объектов недвижимого имущества;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- обеспечить размещение на официальном сайте уполномоченного органа местного самоуправления в информационно-телекоммуникационной сети «Интернет» сообщения о принятом </w:t>
      </w: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решении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об изъятии земельных участков и (или) расположенных на них объектов недвижимого имущества;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- обеспечить размещение на информационном щите в границах территории, в отношении которой органом МСУ принято решение о ее комплексном </w:t>
      </w: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lastRenderedPageBreak/>
        <w:t xml:space="preserve">развитии, сообщения о принятом </w:t>
      </w:r>
      <w:proofErr w:type="gramStart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решении</w:t>
      </w:r>
      <w:proofErr w:type="gramEnd"/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 xml:space="preserve"> об изъятии земельных участков и (или) расположенных на них объектов недвижимого имущества.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Федеральным законом № 361-ФЗ ст. 39.15 ЗК РФ, предусматривающая предварительное согласование предоставления земельного участка, дополняется новым п. 10.1, согласно которому в случае, предусмотренном п. 10 указанной статьи,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самоуправления: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1) с ходатайством об обращении органа государственной власти или органа МСУ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участка, выбранных в соответствии с утвержденными правилами землепользования и застройки;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2) с заявлением об изменении вида разрешенного использования земельного участка;</w:t>
      </w:r>
    </w:p>
    <w:p w:rsidR="00265035" w:rsidRPr="00265035" w:rsidRDefault="00265035" w:rsidP="00265035">
      <w:pPr>
        <w:spacing w:after="100" w:afterAutospacing="1" w:line="240" w:lineRule="auto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3) с заявлением о получении разрешения на условно разрешенный вид использования земельного участка;</w:t>
      </w:r>
    </w:p>
    <w:p w:rsidR="00265035" w:rsidRPr="00265035" w:rsidRDefault="00265035" w:rsidP="00265035">
      <w:pPr>
        <w:spacing w:after="100" w:afterAutospacing="1" w:line="240" w:lineRule="auto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4) с ходатайством о переводе земельного участка из одной категории в другую.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Из состава земель рекреационного назначения будут исключены земельные участки, на которых находятся дома рыболова и охотника (п. 2 ст. 98 ЗК РФ).</w:t>
      </w:r>
    </w:p>
    <w:p w:rsidR="00265035" w:rsidRPr="00265035" w:rsidRDefault="00265035" w:rsidP="00265035">
      <w:pPr>
        <w:spacing w:after="100" w:afterAutospacing="1" w:line="240" w:lineRule="auto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Небольшим корректировкам подверглись и другие статьи (к примеру, ст. 11.10, 39.11 ЗК РФ).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color w:val="464950"/>
          <w:sz w:val="28"/>
          <w:szCs w:val="28"/>
          <w:lang w:eastAsia="ru-RU"/>
        </w:rPr>
        <w:t>Обращаем Ваше внимание, что в настоящее время распоряжение земельными участками, государственная собственность на которые не разграничена, осуществляют ОМСУ поселений.</w:t>
      </w:r>
    </w:p>
    <w:p w:rsidR="00265035" w:rsidRPr="00265035" w:rsidRDefault="00265035" w:rsidP="002650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64950"/>
          <w:sz w:val="28"/>
          <w:szCs w:val="28"/>
          <w:lang w:eastAsia="ru-RU"/>
        </w:rPr>
      </w:pPr>
      <w:r w:rsidRPr="00265035">
        <w:rPr>
          <w:rFonts w:ascii="Times New Roman" w:eastAsia="Times New Roman" w:hAnsi="Times New Roman" w:cs="Times New Roman"/>
          <w:i/>
          <w:color w:val="464950"/>
          <w:sz w:val="28"/>
          <w:szCs w:val="28"/>
          <w:lang w:eastAsia="ru-RU"/>
        </w:rPr>
        <w:t>Вместе с тем, отметим, что согласно положениям Федерального закона № 334-ФЗ с 1 января 2017 года полномочия по предоставлению земельных участков, государственная собственность на которые не разграничена в отношении земельных участков, расположенных на территории сельского поселения, входящего в состав муниц</w:t>
      </w:r>
      <w:bookmarkStart w:id="0" w:name="_GoBack"/>
      <w:bookmarkEnd w:id="0"/>
      <w:r w:rsidRPr="00265035">
        <w:rPr>
          <w:rFonts w:ascii="Times New Roman" w:eastAsia="Times New Roman" w:hAnsi="Times New Roman" w:cs="Times New Roman"/>
          <w:i/>
          <w:color w:val="464950"/>
          <w:sz w:val="28"/>
          <w:szCs w:val="28"/>
          <w:lang w:eastAsia="ru-RU"/>
        </w:rPr>
        <w:t>ипального района, должны осуществлять ОМСУ района.</w:t>
      </w:r>
    </w:p>
    <w:p w:rsidR="00FD433D" w:rsidRPr="00265035" w:rsidRDefault="00A137F3">
      <w:pPr>
        <w:rPr>
          <w:rFonts w:ascii="Times New Roman" w:hAnsi="Times New Roman" w:cs="Times New Roman"/>
          <w:sz w:val="28"/>
          <w:szCs w:val="28"/>
        </w:rPr>
      </w:pPr>
    </w:p>
    <w:sectPr w:rsidR="00FD433D" w:rsidRPr="0026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0"/>
    <w:rsid w:val="00037E30"/>
    <w:rsid w:val="00265035"/>
    <w:rsid w:val="00A137F3"/>
    <w:rsid w:val="00BA61FB"/>
    <w:rsid w:val="00C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2017-01-25T03:51:00Z</dcterms:created>
  <dcterms:modified xsi:type="dcterms:W3CDTF">2017-01-25T03:54:00Z</dcterms:modified>
</cp:coreProperties>
</file>