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1" w:rsidRPr="008518B4" w:rsidRDefault="007A4BF7" w:rsidP="008518B4">
      <w:pPr>
        <w:pStyle w:val="Style7"/>
        <w:widowControl/>
        <w:spacing w:before="120" w:after="120"/>
        <w:ind w:right="48"/>
        <w:rPr>
          <w:rStyle w:val="FontStyle30"/>
          <w:rFonts w:ascii="Times New Roman" w:hAnsi="Times New Roman" w:cs="Times New Roman"/>
          <w:sz w:val="26"/>
          <w:szCs w:val="26"/>
        </w:rPr>
      </w:pPr>
      <w:r w:rsidRPr="008518B4">
        <w:rPr>
          <w:rStyle w:val="FontStyle30"/>
          <w:rFonts w:ascii="Times New Roman" w:hAnsi="Times New Roman" w:cs="Times New Roman"/>
          <w:sz w:val="26"/>
          <w:szCs w:val="26"/>
        </w:rPr>
        <w:t>Гражданское участие в местном самоуправлении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right="10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Современная законодательная база дает возмож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ность жителям муниципальных образований участвовать в решении местных проблем. Традиционно выделяют формы участия граждан в МСУ, закрепленные непосред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ственно в Федеральном законе № 131 -ФЗ. Рассмотрим некоторые из них: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right="10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Местный референдум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- голосование жителей МО по вопросам местного значения. Решения, принятые ме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стным референдумом, являются окончательными, в ка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ком-либо утверждении не нуждаются и обязательны для исполнения на территории соответствующего муници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пального образования. Голосование происходит непо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средственно «за» или «против» вопроса, выносимого на референдум.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firstLine="55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В соответствии с законодательством у каждого гражданина РФ есть право по выдвижению инициативы проведения </w:t>
      </w:r>
      <w:r w:rsidR="00DB28B9">
        <w:rPr>
          <w:rStyle w:val="FontStyle27"/>
          <w:rFonts w:ascii="Times New Roman" w:hAnsi="Times New Roman" w:cs="Times New Roman"/>
          <w:sz w:val="26"/>
          <w:szCs w:val="26"/>
        </w:rPr>
        <w:t xml:space="preserve">референдума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местного самоуправления. Для этого ини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циатива должна быть выдвинута группой граждан в коли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честве не менее 10 человек.</w:t>
      </w:r>
    </w:p>
    <w:p w:rsidR="00E60591" w:rsidRPr="00DB28B9" w:rsidRDefault="007A4BF7" w:rsidP="008518B4">
      <w:pPr>
        <w:pStyle w:val="Style3"/>
        <w:widowControl/>
        <w:spacing w:before="120" w:after="120" w:line="240" w:lineRule="auto"/>
        <w:ind w:right="5" w:firstLine="557"/>
        <w:rPr>
          <w:rStyle w:val="FontStyle27"/>
          <w:rFonts w:ascii="Times New Roman" w:hAnsi="Times New Roman" w:cs="Times New Roman"/>
          <w:i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Необходимо отметить, что местный референдум может проводиться по любому вопросу местного значе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ния. Главное, чтобы данный вопрос не относился к веде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нию органов государственной власти или других муни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ципальных образований. Перечень иных исключений указан в </w:t>
      </w:r>
      <w:r w:rsidR="001A3386">
        <w:rPr>
          <w:rStyle w:val="FontStyle27"/>
          <w:rFonts w:ascii="Times New Roman" w:hAnsi="Times New Roman" w:cs="Times New Roman"/>
          <w:i/>
          <w:sz w:val="26"/>
          <w:szCs w:val="26"/>
        </w:rPr>
        <w:t>Законе</w:t>
      </w:r>
      <w:r w:rsidR="001A3386" w:rsidRPr="001A3386">
        <w:rPr>
          <w:rStyle w:val="FontStyle27"/>
          <w:rFonts w:ascii="Times New Roman" w:hAnsi="Times New Roman" w:cs="Times New Roman"/>
          <w:i/>
          <w:sz w:val="26"/>
          <w:szCs w:val="26"/>
        </w:rPr>
        <w:t xml:space="preserve"> "О местном референдуме в Республике Хакасия" № 64-ЗРХ 16.11.2006 г</w:t>
      </w:r>
      <w:r w:rsidRPr="00DB28B9">
        <w:rPr>
          <w:rStyle w:val="FontStyle27"/>
          <w:rFonts w:ascii="Times New Roman" w:hAnsi="Times New Roman" w:cs="Times New Roman"/>
          <w:i/>
          <w:sz w:val="26"/>
          <w:szCs w:val="26"/>
        </w:rPr>
        <w:t>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right="5" w:firstLine="55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Таким образом, в практике муниципального само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управления, местный референдум может выполнять как функцию общественного обсуждения определенного вопроса по инициативе органов местного самоуправле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ния с получением конкретного ответа «да» или «нет», так и инициировать для жителей решение вопроса без со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гласования с органами местного самоуправления.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firstLine="557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Наиболее знакомой всем жителям формой непо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средственного участия в МСУ являются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Муниципальные выборы.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Целью проведения муниципальных выборов является формирование выборных органов местного самоуправления и (или) наделение полномочиями вы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борных должностных лиц МСУ. Таким образом, посредст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вом муниципальных выборов жители определяют тех, кто из кандидатов наиболее подготовлен для осуществ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ления функций МСУ.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firstLine="557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Доступной формой самоорганизации жителей является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сход граждан.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Данная форма применяется в по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селениях, где численность населения, обладающих изби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рательным правом, не более 100 человек. В этом случае сход граждан осуществляет функции представительного органа МО. Сход граждан обеспечивает сочетание колле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гиального обсуждения вопросов и принятия решений, за которые несет ответственность каждый житель. Обсуж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даемые вопросы могут быть разнообразными. Принятые на сходе решения подлежат обязательному исполнению на территории всего поселения.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firstLine="542"/>
        <w:rPr>
          <w:rStyle w:val="FontStyle19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У жителей МО есть возможность участвовать и в правотворческом пр</w:t>
      </w:r>
      <w:r w:rsidR="008518B4">
        <w:rPr>
          <w:rStyle w:val="FontStyle27"/>
          <w:rFonts w:ascii="Times New Roman" w:hAnsi="Times New Roman" w:cs="Times New Roman"/>
          <w:sz w:val="26"/>
          <w:szCs w:val="26"/>
        </w:rPr>
        <w:t>оцессе. Участие может реализовы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ваться через два механизма: правотворческую инициати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ву граждан и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>публичные слушания.</w:t>
      </w:r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right="10" w:firstLine="56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Если говорить о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правотворческой инициативе,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то перечень ее субъектов определен в Федеральном за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коне № 131 -ФЗ и не ограничен каким-либо образом в за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висимости от характера вносимого проекта. При этом</w:t>
      </w: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,</w:t>
      </w:r>
      <w:proofErr w:type="gram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практика в МО не знает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lastRenderedPageBreak/>
        <w:t>широкого применения право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творческой инициативы граждан. Причинами этого могут быть:</w:t>
      </w:r>
    </w:p>
    <w:p w:rsidR="00E60591" w:rsidRPr="008518B4" w:rsidRDefault="007A4BF7" w:rsidP="008518B4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отсутствие у жителей достаточных правовых зна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ний и подготовленности к реализации такой формы уча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стия в МСУ,</w:t>
      </w:r>
    </w:p>
    <w:p w:rsidR="00E60591" w:rsidRPr="008518B4" w:rsidRDefault="007A4BF7" w:rsidP="008518B4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отсутствие гарантий реализации правотворче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ской инициативы граждан, кроме как обязательного рас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смотрения поступившего проекта органом, в компетен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цию которого входит принятие данного акта,</w:t>
      </w:r>
    </w:p>
    <w:p w:rsidR="00E60591" w:rsidRPr="008518B4" w:rsidRDefault="007A4BF7" w:rsidP="008518B4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Федеральный закон № 131 -ФЗ не определяет ос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нования, по которым может быть отклонен предлагае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мый проект акта. Таким образом, мотивировать отказ в принятии предлагаемого проекта можно чем угодно, на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пример, отсутствием финансовых средств на его реализа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цию, нецелесообразностью принятия акта и пр.</w:t>
      </w:r>
    </w:p>
    <w:p w:rsidR="00E60591" w:rsidRPr="008518B4" w:rsidRDefault="007A4BF7" w:rsidP="008518B4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сложная подготовительная работа, такие как трудности с подготовкой проекта МПА, отвечающего всем требованиям; проведение работы по убеждению граждан в необходимости принятия такого акта; агитация населения в поддержку именно данного варианта право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вого акта; необходимость сбора подписей граждан в под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держку инициативы; отсутствие законодательной регла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ментации финансового обеспечения правотворческой инициативы, при совсем негарантированном положи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тельном результате этой работы.</w:t>
      </w:r>
      <w:proofErr w:type="gramEnd"/>
    </w:p>
    <w:p w:rsidR="00E60591" w:rsidRPr="008518B4" w:rsidRDefault="007A4BF7" w:rsidP="008518B4">
      <w:pPr>
        <w:pStyle w:val="Style3"/>
        <w:widowControl/>
        <w:spacing w:before="120" w:after="120" w:line="240" w:lineRule="auto"/>
        <w:ind w:firstLine="566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используются представи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тельным органом МО и его главой для обсуждения жите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лями проектов наиболее важных муниципальных право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вых актов. Законодателем определен перечень проектов НПА, которые в обязательном порядке должны </w:t>
      </w: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выносит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ся</w:t>
      </w:r>
      <w:proofErr w:type="gram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на публичные слушания.</w:t>
      </w:r>
    </w:p>
    <w:p w:rsidR="00E60591" w:rsidRDefault="007A4BF7" w:rsidP="008518B4">
      <w:pPr>
        <w:pStyle w:val="Style3"/>
        <w:widowControl/>
        <w:spacing w:before="120" w:after="120" w:line="240" w:lineRule="auto"/>
        <w:ind w:firstLine="552"/>
        <w:rPr>
          <w:rStyle w:val="FontStyle27"/>
          <w:rFonts w:ascii="Times New Roman" w:hAnsi="Times New Roman" w:cs="Times New Roman"/>
          <w:sz w:val="26"/>
          <w:szCs w:val="26"/>
        </w:rPr>
      </w:pPr>
      <w:r w:rsidRPr="00DB28B9">
        <w:rPr>
          <w:rStyle w:val="FontStyle27"/>
          <w:rFonts w:ascii="Times New Roman" w:hAnsi="Times New Roman" w:cs="Times New Roman"/>
          <w:i/>
          <w:sz w:val="26"/>
          <w:szCs w:val="26"/>
        </w:rPr>
        <w:t>В Красноярском крае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широко практикуется при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влечение граждан к публичным слушаниям по бюджет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ным вопросам. Такая практика способна повысить эф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фективность управления муниципальными финансами за счет большей открытости и подконтрольности действий органов МСУ. С другой стороны, это не решает проблемы сложности бюджетной информации для понимания жителями.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ind w:firstLine="538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Таким образом, при подготовке публичных слуша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ний необходимо разрабатывать материалы, разъясняю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щие проекты нормативных актов материалы на понятном и доступном для жителей языке</w:t>
      </w:r>
      <w:r w:rsidR="00DB28B9">
        <w:rPr>
          <w:rStyle w:val="FontStyle27"/>
          <w:rFonts w:ascii="Times New Roman" w:hAnsi="Times New Roman" w:cs="Times New Roman"/>
          <w:sz w:val="26"/>
          <w:szCs w:val="26"/>
        </w:rPr>
        <w:t xml:space="preserve"> (например: народный бюджет)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. Также на практике необ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ходимо расширять перечень вопросов, обсуждаемых вместе с жителями на публичных слушаниях.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Другой формой выявления мнения граждан по вопросам, касающимся развития территории, может быть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опрос граждан.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Инициатива проведения опроса может исходить от органов местного самоуправления или орга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нов государственной власти. Результаты опроса носят рекомендательный характер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ind w:firstLine="56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Наиболее значимой в сфере МСУ является такая форма участия граждан, как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>территориальное общест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венное самоуправление.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Законодательство дает сле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дующее определение: ТОС - это самоорганизация граж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дан по месту их жительства </w:t>
      </w: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поселе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ния для самостоятельного и под свою ответственность осуществления собственных инициатив по вопросам ме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стного значения. Таким образом, ТОС создается по собст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венной инициативе гражданами, проживающими на кон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кретной территории, и представляет собой доброволь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ное объединение жителей с целью, прежде всего, совме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 xml:space="preserve">стного решения насущных проблем, улучшения качества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lastRenderedPageBreak/>
        <w:t>жизни на данной территории. То есть в рамках ТОС мож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 обустраивать территорию проживания в самом широ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ком смысле - решать вопросы благоустройства, общест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венного порядка, досуга и т.п.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ind w:firstLine="56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Но сами граждане активно использует такую форму участия, как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>обращение в органы местного само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управления.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,</w:t>
      </w:r>
      <w:proofErr w:type="gram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согласно исследованию, лишь 11% граждан считают данную форму эффективной (источник: </w:t>
      </w:r>
      <w:proofErr w:type="spellStart"/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Мерсиянова</w:t>
      </w:r>
      <w:proofErr w:type="spell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 И.В. «Потенциал и пути развития филантропии в России», М., 2010).</w:t>
      </w:r>
      <w:proofErr w:type="gramEnd"/>
    </w:p>
    <w:p w:rsidR="002127C9" w:rsidRPr="008518B4" w:rsidRDefault="002127C9" w:rsidP="002127C9">
      <w:pPr>
        <w:pStyle w:val="Style3"/>
        <w:widowControl/>
        <w:spacing w:before="120" w:after="120" w:line="240" w:lineRule="auto"/>
        <w:ind w:right="58" w:firstLine="566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Помимо </w:t>
      </w:r>
      <w:proofErr w:type="gramStart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перечисленных</w:t>
      </w:r>
      <w:proofErr w:type="gramEnd"/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, могут быть и иные формы участия в МСУ. Такие формы не должны противоречить законодательству и должны основываться на принципе добровольности. Примерами таких форм могут быть:</w:t>
      </w:r>
    </w:p>
    <w:p w:rsidR="002127C9" w:rsidRPr="008518B4" w:rsidRDefault="002127C9" w:rsidP="002127C9">
      <w:pPr>
        <w:pStyle w:val="Style4"/>
        <w:widowControl/>
        <w:numPr>
          <w:ilvl w:val="0"/>
          <w:numId w:val="3"/>
        </w:numPr>
        <w:tabs>
          <w:tab w:val="left" w:pos="662"/>
        </w:tabs>
        <w:spacing w:before="120" w:after="120" w:line="240" w:lineRule="auto"/>
        <w:ind w:left="557" w:firstLine="0"/>
        <w:jc w:val="left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бюджетные гранты;</w:t>
      </w:r>
    </w:p>
    <w:p w:rsidR="002127C9" w:rsidRPr="008518B4" w:rsidRDefault="002127C9" w:rsidP="002127C9">
      <w:pPr>
        <w:pStyle w:val="Style4"/>
        <w:widowControl/>
        <w:numPr>
          <w:ilvl w:val="0"/>
          <w:numId w:val="3"/>
        </w:numPr>
        <w:tabs>
          <w:tab w:val="left" w:pos="662"/>
        </w:tabs>
        <w:spacing w:before="120" w:after="120" w:line="240" w:lineRule="auto"/>
        <w:ind w:left="557" w:firstLine="0"/>
        <w:jc w:val="left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некоммерческие организации;</w:t>
      </w:r>
    </w:p>
    <w:p w:rsidR="002127C9" w:rsidRPr="008518B4" w:rsidRDefault="002127C9" w:rsidP="002127C9">
      <w:pPr>
        <w:pStyle w:val="Style4"/>
        <w:widowControl/>
        <w:numPr>
          <w:ilvl w:val="0"/>
          <w:numId w:val="3"/>
        </w:numPr>
        <w:tabs>
          <w:tab w:val="left" w:pos="662"/>
        </w:tabs>
        <w:spacing w:before="120" w:after="120" w:line="240" w:lineRule="auto"/>
        <w:ind w:left="557" w:firstLine="0"/>
        <w:jc w:val="left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местные общественные палата;</w:t>
      </w:r>
    </w:p>
    <w:p w:rsidR="002127C9" w:rsidRPr="008518B4" w:rsidRDefault="002127C9" w:rsidP="002127C9">
      <w:pPr>
        <w:pStyle w:val="Style4"/>
        <w:widowControl/>
        <w:numPr>
          <w:ilvl w:val="0"/>
          <w:numId w:val="3"/>
        </w:numPr>
        <w:tabs>
          <w:tab w:val="left" w:pos="662"/>
        </w:tabs>
        <w:spacing w:before="120" w:after="120" w:line="240" w:lineRule="auto"/>
        <w:ind w:left="557" w:firstLine="0"/>
        <w:jc w:val="left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система благотворительной помощи и т.п.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ind w:right="53" w:firstLine="542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 xml:space="preserve">Таким образом, возможности для участия граждан в управлении территорией представлены в достаточно широком спектре. Ключевую роль в развитии всех форм участия играют </w:t>
      </w:r>
      <w:r w:rsidRPr="008518B4">
        <w:rPr>
          <w:rStyle w:val="FontStyle19"/>
          <w:rFonts w:ascii="Times New Roman" w:hAnsi="Times New Roman" w:cs="Times New Roman"/>
          <w:sz w:val="26"/>
          <w:szCs w:val="26"/>
        </w:rPr>
        <w:t xml:space="preserve">местные сообщества. 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Основной потен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циал местных сообществ заключается в возможности за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действовать человеческий ресурс, направленный на по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вышение качества жизни. Поэтому задача муниципаль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ной власти выстроить эффективное взаимодействие со структурами местного сообщества.</w:t>
      </w:r>
    </w:p>
    <w:p w:rsidR="002127C9" w:rsidRPr="008518B4" w:rsidRDefault="002127C9" w:rsidP="001A3386">
      <w:pPr>
        <w:pStyle w:val="Style3"/>
        <w:widowControl/>
        <w:spacing w:before="120" w:after="120" w:line="240" w:lineRule="auto"/>
        <w:ind w:firstLine="600"/>
        <w:rPr>
          <w:rStyle w:val="FontStyle28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Что должно лежать в основе такого взаимодейст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вия? Прежде всего, открытый характер деятельности ме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стной власти. В муниципальном образовании всем жите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лям должны быть обеспечены условия для возможности выражать свое мнение по вопросам развития террито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рии. Также необходимо развивать систему своевремен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ного информирования жителей в доступной и понятной для них форме</w:t>
      </w:r>
      <w:r w:rsidR="001A3386">
        <w:rPr>
          <w:rStyle w:val="FontStyle27"/>
          <w:rFonts w:ascii="Times New Roman" w:hAnsi="Times New Roman" w:cs="Times New Roman"/>
          <w:sz w:val="26"/>
          <w:szCs w:val="26"/>
        </w:rPr>
        <w:t xml:space="preserve"> </w:t>
      </w:r>
      <w:r w:rsidRPr="008518B4">
        <w:rPr>
          <w:rStyle w:val="FontStyle28"/>
          <w:rFonts w:ascii="Times New Roman" w:hAnsi="Times New Roman" w:cs="Times New Roman"/>
          <w:sz w:val="26"/>
          <w:szCs w:val="26"/>
        </w:rPr>
        <w:t>(методическое пособие «Информационное обеспечение деятельности ОМСУ</w:t>
      </w:r>
      <w:r w:rsidR="001A3386">
        <w:rPr>
          <w:rStyle w:val="FontStyle28"/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8518B4">
        <w:rPr>
          <w:rStyle w:val="FontStyle28"/>
          <w:rFonts w:ascii="Times New Roman" w:hAnsi="Times New Roman" w:cs="Times New Roman"/>
          <w:sz w:val="26"/>
          <w:szCs w:val="26"/>
        </w:rPr>
        <w:t xml:space="preserve"> 2013 г.)</w:t>
      </w:r>
    </w:p>
    <w:p w:rsidR="002127C9" w:rsidRPr="008518B4" w:rsidRDefault="002127C9" w:rsidP="002127C9">
      <w:pPr>
        <w:pStyle w:val="Style3"/>
        <w:widowControl/>
        <w:spacing w:before="120" w:after="120" w:line="240" w:lineRule="auto"/>
        <w:rPr>
          <w:rStyle w:val="FontStyle27"/>
          <w:rFonts w:ascii="Times New Roman" w:hAnsi="Times New Roman" w:cs="Times New Roman"/>
          <w:sz w:val="26"/>
          <w:szCs w:val="26"/>
        </w:rPr>
      </w:pPr>
      <w:r w:rsidRPr="008518B4">
        <w:rPr>
          <w:rStyle w:val="FontStyle27"/>
          <w:rFonts w:ascii="Times New Roman" w:hAnsi="Times New Roman" w:cs="Times New Roman"/>
          <w:sz w:val="26"/>
          <w:szCs w:val="26"/>
        </w:rPr>
        <w:t>Для любого МО, городского или сельского поселе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ния, эффективным будет тот проект, который прошел об</w:t>
      </w:r>
      <w:r w:rsidRPr="008518B4">
        <w:rPr>
          <w:rStyle w:val="FontStyle27"/>
          <w:rFonts w:ascii="Times New Roman" w:hAnsi="Times New Roman" w:cs="Times New Roman"/>
          <w:sz w:val="26"/>
          <w:szCs w:val="26"/>
        </w:rPr>
        <w:softHyphen/>
        <w:t>суждение при участии муниципальной власти и местных сообществ.</w:t>
      </w:r>
    </w:p>
    <w:p w:rsidR="00605B3D" w:rsidRPr="00605B3D" w:rsidRDefault="00E541D0" w:rsidP="00605B3D">
      <w:pPr>
        <w:pStyle w:val="Style7"/>
        <w:widowControl/>
        <w:rPr>
          <w:rStyle w:val="FontStyle30"/>
          <w:rFonts w:ascii="Times New Roman" w:hAnsi="Times New Roman" w:cs="Times New Roman"/>
        </w:rPr>
      </w:pPr>
      <w:r w:rsidRPr="008518B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14655" distB="143510" distL="6400800" distR="6400800" simplePos="0" relativeHeight="251659264" behindDoc="0" locked="0" layoutInCell="1" allowOverlap="1" wp14:anchorId="503EC28F" wp14:editId="12BABF3E">
                <wp:simplePos x="0" y="0"/>
                <wp:positionH relativeFrom="margin">
                  <wp:posOffset>0</wp:posOffset>
                </wp:positionH>
                <wp:positionV relativeFrom="paragraph">
                  <wp:posOffset>545465</wp:posOffset>
                </wp:positionV>
                <wp:extent cx="1195070" cy="478155"/>
                <wp:effectExtent l="0" t="254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591" w:rsidRDefault="00E60591">
                            <w:pPr>
                              <w:pStyle w:val="Style6"/>
                              <w:widowControl/>
                              <w:jc w:val="right"/>
                              <w:rPr>
                                <w:rStyle w:val="FontStyle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2.95pt;width:94.1pt;height:37.65pt;z-index:251659264;visibility:visible;mso-wrap-style:square;mso-width-percent:0;mso-height-percent:0;mso-wrap-distance-left:7in;mso-wrap-distance-top:32.65pt;mso-wrap-distance-right:7in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+qw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" filled="f" stroked="f">
                <v:textbox inset="0,0,0,0">
                  <w:txbxContent>
                    <w:p w:rsidR="00E60591" w:rsidRDefault="00E60591">
                      <w:pPr>
                        <w:pStyle w:val="Style6"/>
                        <w:widowControl/>
                        <w:jc w:val="right"/>
                        <w:rPr>
                          <w:rStyle w:val="FontStyle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5B3D" w:rsidRPr="00605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591" w:rsidRPr="00605B3D" w:rsidRDefault="00E60591" w:rsidP="008518B4">
      <w:pPr>
        <w:widowControl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605B3D" w:rsidRPr="005C4DFF" w:rsidRDefault="00605B3D" w:rsidP="00605B3D">
      <w:pPr>
        <w:pStyle w:val="Style15"/>
        <w:widowControl/>
        <w:spacing w:before="120" w:after="120" w:line="240" w:lineRule="auto"/>
        <w:ind w:left="3533"/>
        <w:rPr>
          <w:rStyle w:val="FontStyle22"/>
          <w:sz w:val="26"/>
          <w:szCs w:val="26"/>
        </w:rPr>
      </w:pPr>
    </w:p>
    <w:sectPr w:rsidR="00605B3D" w:rsidRPr="005C4DFF" w:rsidSect="00605B3D">
      <w:headerReference w:type="default" r:id="rId8"/>
      <w:footerReference w:type="default" r:id="rId9"/>
      <w:type w:val="nextColumn"/>
      <w:pgSz w:w="11907" w:h="16840" w:code="9"/>
      <w:pgMar w:top="1134" w:right="992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EE" w:rsidRDefault="008041EE">
      <w:r>
        <w:separator/>
      </w:r>
    </w:p>
  </w:endnote>
  <w:endnote w:type="continuationSeparator" w:id="0">
    <w:p w:rsidR="008041EE" w:rsidRDefault="0080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1" w:rsidRDefault="00E6059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EE" w:rsidRDefault="008041EE">
      <w:r>
        <w:separator/>
      </w:r>
    </w:p>
  </w:footnote>
  <w:footnote w:type="continuationSeparator" w:id="0">
    <w:p w:rsidR="008041EE" w:rsidRDefault="0080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1" w:rsidRDefault="00E60591">
    <w:pPr>
      <w:pStyle w:val="Style2"/>
      <w:widowControl/>
      <w:spacing w:line="360" w:lineRule="exact"/>
      <w:jc w:val="both"/>
      <w:rPr>
        <w:rStyle w:val="FontStyle21"/>
        <w:position w:val="1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847D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D0"/>
    <w:rsid w:val="001A3386"/>
    <w:rsid w:val="002127C9"/>
    <w:rsid w:val="00241AEA"/>
    <w:rsid w:val="005C4DFF"/>
    <w:rsid w:val="00605B3D"/>
    <w:rsid w:val="007A4BF7"/>
    <w:rsid w:val="008041EE"/>
    <w:rsid w:val="00850E44"/>
    <w:rsid w:val="008518B4"/>
    <w:rsid w:val="00DB28B9"/>
    <w:rsid w:val="00E541D0"/>
    <w:rsid w:val="00E60591"/>
    <w:rsid w:val="00EF6582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3" w:lineRule="exact"/>
      <w:ind w:firstLine="547"/>
      <w:jc w:val="both"/>
    </w:pPr>
  </w:style>
  <w:style w:type="paragraph" w:customStyle="1" w:styleId="Style4">
    <w:name w:val="Style4"/>
    <w:basedOn w:val="a"/>
    <w:uiPriority w:val="99"/>
    <w:pPr>
      <w:spacing w:line="254" w:lineRule="exact"/>
      <w:ind w:firstLine="55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45" w:lineRule="exact"/>
      <w:ind w:firstLine="538"/>
      <w:jc w:val="both"/>
    </w:pPr>
  </w:style>
  <w:style w:type="paragraph" w:customStyle="1" w:styleId="Style9">
    <w:name w:val="Style9"/>
    <w:basedOn w:val="a"/>
    <w:uiPriority w:val="99"/>
    <w:pPr>
      <w:spacing w:line="240" w:lineRule="exact"/>
      <w:jc w:val="right"/>
    </w:pPr>
  </w:style>
  <w:style w:type="paragraph" w:customStyle="1" w:styleId="Style10">
    <w:name w:val="Style10"/>
    <w:basedOn w:val="a"/>
    <w:uiPriority w:val="99"/>
    <w:pPr>
      <w:spacing w:line="250" w:lineRule="exact"/>
      <w:ind w:firstLine="56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83" w:lineRule="exact"/>
      <w:jc w:val="both"/>
    </w:pPr>
  </w:style>
  <w:style w:type="paragraph" w:customStyle="1" w:styleId="Style13">
    <w:name w:val="Style13"/>
    <w:basedOn w:val="a"/>
    <w:uiPriority w:val="99"/>
    <w:pPr>
      <w:spacing w:line="341" w:lineRule="exact"/>
      <w:ind w:firstLine="581"/>
    </w:pPr>
  </w:style>
  <w:style w:type="paragraph" w:customStyle="1" w:styleId="Style14">
    <w:name w:val="Style14"/>
    <w:basedOn w:val="a"/>
    <w:uiPriority w:val="99"/>
    <w:pPr>
      <w:spacing w:line="360" w:lineRule="exact"/>
      <w:ind w:firstLine="552"/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jc w:val="right"/>
    </w:p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mallCaps/>
      <w:w w:val="250"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b/>
      <w:bCs/>
      <w:i/>
      <w:iCs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Impact" w:hAnsi="Impact" w:cs="Impact"/>
      <w:spacing w:val="10"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24">
    <w:name w:val="Font Style24"/>
    <w:basedOn w:val="a0"/>
    <w:uiPriority w:val="99"/>
    <w:rPr>
      <w:rFonts w:ascii="Corbel" w:hAnsi="Corbel" w:cs="Corbel"/>
      <w:spacing w:val="4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Candara" w:hAnsi="Candara" w:cs="Candara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8B4"/>
    <w:rPr>
      <w:rFonts w:hAnsi="Sylfae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1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8B4"/>
    <w:rPr>
      <w:rFonts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3" w:lineRule="exact"/>
      <w:ind w:firstLine="547"/>
      <w:jc w:val="both"/>
    </w:pPr>
  </w:style>
  <w:style w:type="paragraph" w:customStyle="1" w:styleId="Style4">
    <w:name w:val="Style4"/>
    <w:basedOn w:val="a"/>
    <w:uiPriority w:val="99"/>
    <w:pPr>
      <w:spacing w:line="254" w:lineRule="exact"/>
      <w:ind w:firstLine="55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45" w:lineRule="exact"/>
      <w:ind w:firstLine="538"/>
      <w:jc w:val="both"/>
    </w:pPr>
  </w:style>
  <w:style w:type="paragraph" w:customStyle="1" w:styleId="Style9">
    <w:name w:val="Style9"/>
    <w:basedOn w:val="a"/>
    <w:uiPriority w:val="99"/>
    <w:pPr>
      <w:spacing w:line="240" w:lineRule="exact"/>
      <w:jc w:val="right"/>
    </w:pPr>
  </w:style>
  <w:style w:type="paragraph" w:customStyle="1" w:styleId="Style10">
    <w:name w:val="Style10"/>
    <w:basedOn w:val="a"/>
    <w:uiPriority w:val="99"/>
    <w:pPr>
      <w:spacing w:line="250" w:lineRule="exact"/>
      <w:ind w:firstLine="56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83" w:lineRule="exact"/>
      <w:jc w:val="both"/>
    </w:pPr>
  </w:style>
  <w:style w:type="paragraph" w:customStyle="1" w:styleId="Style13">
    <w:name w:val="Style13"/>
    <w:basedOn w:val="a"/>
    <w:uiPriority w:val="99"/>
    <w:pPr>
      <w:spacing w:line="341" w:lineRule="exact"/>
      <w:ind w:firstLine="581"/>
    </w:pPr>
  </w:style>
  <w:style w:type="paragraph" w:customStyle="1" w:styleId="Style14">
    <w:name w:val="Style14"/>
    <w:basedOn w:val="a"/>
    <w:uiPriority w:val="99"/>
    <w:pPr>
      <w:spacing w:line="360" w:lineRule="exact"/>
      <w:ind w:firstLine="552"/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jc w:val="right"/>
    </w:p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mallCaps/>
      <w:w w:val="250"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b/>
      <w:bCs/>
      <w:i/>
      <w:iCs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Impact" w:hAnsi="Impact" w:cs="Impact"/>
      <w:spacing w:val="10"/>
      <w:sz w:val="30"/>
      <w:szCs w:val="3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24">
    <w:name w:val="Font Style24"/>
    <w:basedOn w:val="a0"/>
    <w:uiPriority w:val="99"/>
    <w:rPr>
      <w:rFonts w:ascii="Corbel" w:hAnsi="Corbel" w:cs="Corbel"/>
      <w:spacing w:val="4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Candara" w:hAnsi="Candara" w:cs="Candara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8B4"/>
    <w:rPr>
      <w:rFonts w:hAnsi="Sylfae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1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8B4"/>
    <w:rPr>
      <w:rFonts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2013-12-18T06:42:00Z</dcterms:created>
  <dcterms:modified xsi:type="dcterms:W3CDTF">2014-01-20T07:27:00Z</dcterms:modified>
</cp:coreProperties>
</file>